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organizing-data"/>
    <w:p>
      <w:pPr>
        <w:pStyle w:val="Heading2"/>
      </w:pPr>
      <w:r>
        <w:t xml:space="preserve">Lesson 17: Organizing Data</w:t>
      </w:r>
    </w:p>
    <w:bookmarkEnd w:id="20"/>
    <w:p>
      <w:pPr>
        <w:pStyle w:val="FirstParagraph"/>
      </w:pPr>
      <w:r>
        <w:t xml:space="preserve">Let’s find ways to show patterns in data</w:t>
      </w:r>
    </w:p>
    <w:bookmarkStart w:id="21" w:name="notice-and-wonder-messy-data"/>
    <w:p>
      <w:pPr>
        <w:pStyle w:val="Heading3"/>
      </w:pPr>
      <w:r>
        <w:t xml:space="preserve">17.1: Notice and Wonder: Messy Data</w:t>
      </w:r>
    </w:p>
    <w:p>
      <w:pPr>
        <w:pStyle w:val="FirstParagraph"/>
      </w:pPr>
      <w:r>
        <w:t xml:space="preserve">Here is a table of data. Each row shows two measurements of a triangle.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short side (cm)</w:t>
            </w:r>
          </w:p>
        </w:tc>
        <w:tc>
          <w:tcPr/>
          <w:p>
            <w:pPr>
              <w:pStyle w:val="Compact"/>
              <w:jc w:val="left"/>
            </w:pPr>
            <w:r>
              <w:t xml:space="preserve">length of perimeter (cm)</w:t>
            </w:r>
          </w:p>
        </w:tc>
      </w:tr>
      <w:tr>
        <w:tc>
          <w:tcPr/>
          <w:p>
            <w:pPr>
              <w:pStyle w:val="Compact"/>
              <w:jc w:val="left"/>
            </w:pPr>
            <w:r>
              <w:t xml:space="preserve">0.25</w:t>
            </w:r>
          </w:p>
        </w:tc>
        <w:tc>
          <w:tcPr/>
          <w:p>
            <w:pPr>
              <w:pStyle w:val="Compact"/>
              <w:jc w:val="left"/>
            </w:pPr>
            <w:r>
              <w:t xml:space="preserve">1</w:t>
            </w:r>
          </w:p>
        </w:tc>
      </w:tr>
      <w:tr>
        <w:tc>
          <w:tcPr/>
          <w:p>
            <w:pPr>
              <w:pStyle w:val="Compact"/>
              <w:jc w:val="left"/>
            </w:pPr>
            <w:r>
              <w:t xml:space="preserve">2</w:t>
            </w:r>
          </w:p>
        </w:tc>
        <w:tc>
          <w:tcPr/>
          <w:p>
            <w:pPr>
              <w:pStyle w:val="Compact"/>
              <w:jc w:val="left"/>
            </w:pPr>
            <w:r>
              <w:t xml:space="preserve">7.5</w:t>
            </w:r>
          </w:p>
        </w:tc>
      </w:tr>
      <w:tr>
        <w:tc>
          <w:tcPr/>
          <w:p>
            <w:pPr>
              <w:pStyle w:val="Compact"/>
              <w:jc w:val="left"/>
            </w:pPr>
            <w:r>
              <w:t xml:space="preserve">6.5</w:t>
            </w:r>
          </w:p>
        </w:tc>
        <w:tc>
          <w:tcPr/>
          <w:p>
            <w:pPr>
              <w:pStyle w:val="Compact"/>
              <w:jc w:val="left"/>
            </w:pPr>
            <w:r>
              <w:t xml:space="preserve">22</w:t>
            </w:r>
          </w:p>
        </w:tc>
      </w:tr>
      <w:tr>
        <w:tc>
          <w:tcPr/>
          <w:p>
            <w:pPr>
              <w:pStyle w:val="Compact"/>
              <w:jc w:val="left"/>
            </w:pPr>
            <w:r>
              <w:t xml:space="preserve">3</w:t>
            </w:r>
          </w:p>
        </w:tc>
        <w:tc>
          <w:tcPr/>
          <w:p>
            <w:pPr>
              <w:pStyle w:val="Compact"/>
              <w:jc w:val="left"/>
            </w:pPr>
            <w:r>
              <w:t xml:space="preserve">9.5</w:t>
            </w:r>
          </w:p>
        </w:tc>
      </w:tr>
      <w:tr>
        <w:tc>
          <w:tcPr/>
          <w:p>
            <w:pPr>
              <w:pStyle w:val="Compact"/>
              <w:jc w:val="left"/>
            </w:pPr>
            <w:r>
              <w:t xml:space="preserve">0.5</w:t>
            </w:r>
          </w:p>
        </w:tc>
        <w:tc>
          <w:tcPr/>
          <w:p>
            <w:pPr>
              <w:pStyle w:val="Compact"/>
              <w:jc w:val="left"/>
            </w:pPr>
            <w:r>
              <w:t xml:space="preserve">2</w:t>
            </w:r>
          </w:p>
        </w:tc>
      </w:tr>
      <w:tr>
        <w:tc>
          <w:tcPr/>
          <w:p>
            <w:pPr>
              <w:pStyle w:val="Compact"/>
              <w:jc w:val="left"/>
            </w:pPr>
            <w:r>
              <w:t xml:space="preserve">1.25</w:t>
            </w:r>
          </w:p>
        </w:tc>
        <w:tc>
          <w:tcPr/>
          <w:p>
            <w:pPr>
              <w:pStyle w:val="Compact"/>
              <w:jc w:val="left"/>
            </w:pPr>
            <w:r>
              <w:t xml:space="preserve">3.5</w:t>
            </w:r>
          </w:p>
        </w:tc>
      </w:tr>
      <w:tr>
        <w:tc>
          <w:tcPr/>
          <w:p>
            <w:pPr>
              <w:pStyle w:val="Compact"/>
              <w:jc w:val="left"/>
            </w:pPr>
            <w:r>
              <w:t xml:space="preserve">3.5</w:t>
            </w:r>
          </w:p>
        </w:tc>
        <w:tc>
          <w:tcPr/>
          <w:p>
            <w:pPr>
              <w:pStyle w:val="Compact"/>
              <w:jc w:val="left"/>
            </w:pPr>
            <w:r>
              <w:t xml:space="preserve">12.5</w:t>
            </w:r>
          </w:p>
        </w:tc>
      </w:tr>
      <w:tr>
        <w:tc>
          <w:tcPr/>
          <w:p>
            <w:pPr>
              <w:pStyle w:val="Compact"/>
              <w:jc w:val="left"/>
            </w:pPr>
            <w:r>
              <w:t xml:space="preserve">1.5</w:t>
            </w:r>
          </w:p>
        </w:tc>
        <w:tc>
          <w:tcPr/>
          <w:p>
            <w:pPr>
              <w:pStyle w:val="Compact"/>
              <w:jc w:val="left"/>
            </w:pPr>
            <w:r>
              <w:t xml:space="preserve">5</w:t>
            </w:r>
          </w:p>
        </w:tc>
      </w:tr>
      <w:tr>
        <w:tc>
          <w:tcPr/>
          <w:p>
            <w:pPr>
              <w:pStyle w:val="Compact"/>
              <w:jc w:val="left"/>
            </w:pPr>
            <w:r>
              <w:t xml:space="preserve">4</w:t>
            </w:r>
          </w:p>
        </w:tc>
        <w:tc>
          <w:tcPr/>
          <w:p>
            <w:pPr>
              <w:pStyle w:val="Compact"/>
              <w:jc w:val="left"/>
            </w:pPr>
            <w:r>
              <w:t xml:space="preserve">14</w:t>
            </w:r>
          </w:p>
        </w:tc>
      </w:tr>
      <w:tr>
        <w:tc>
          <w:tcPr/>
          <w:p>
            <w:pPr>
              <w:pStyle w:val="Compact"/>
              <w:jc w:val="left"/>
            </w:pPr>
            <w:r>
              <w:t xml:space="preserve">1</w:t>
            </w:r>
          </w:p>
        </w:tc>
        <w:tc>
          <w:tcPr/>
          <w:p>
            <w:pPr>
              <w:pStyle w:val="Compact"/>
              <w:jc w:val="left"/>
            </w:pPr>
            <w:r>
              <w:t xml:space="preserve">2.5</w:t>
            </w:r>
          </w:p>
        </w:tc>
      </w:tr>
    </w:tbl>
    <w:p>
      <w:pPr>
        <w:pStyle w:val="BodyText"/>
      </w:pPr>
      <w:r>
        <w:t xml:space="preserve">What do you notice? What do you wonder?</w:t>
      </w:r>
    </w:p>
    <w:bookmarkEnd w:id="21"/>
    <w:bookmarkStart w:id="26" w:name="seeing-the-data"/>
    <w:p>
      <w:pPr>
        <w:pStyle w:val="Heading3"/>
      </w:pPr>
      <w:r>
        <w:t xml:space="preserve">17.2: Seeing the Data</w:t>
      </w:r>
    </w:p>
    <w:p>
      <w:pPr>
        <w:pStyle w:val="FirstParagraph"/>
      </w:pPr>
      <w:r>
        <w:t xml:space="preserve">Here is the table of isosceles right triangle measurements from the warm-up and an empty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short sides (cm)</w:t>
            </w:r>
          </w:p>
        </w:tc>
        <w:tc>
          <w:tcPr/>
          <w:p>
            <w:pPr>
              <w:pStyle w:val="Compact"/>
              <w:jc w:val="left"/>
            </w:pPr>
            <w:r>
              <w:t xml:space="preserve">length of perimeter (cm)</w:t>
            </w:r>
          </w:p>
        </w:tc>
      </w:tr>
      <w:tr>
        <w:tc>
          <w:tcPr/>
          <w:p>
            <w:pPr>
              <w:pStyle w:val="Compact"/>
              <w:jc w:val="left"/>
            </w:pPr>
            <w:r>
              <w:t xml:space="preserve">0.25</w:t>
            </w:r>
          </w:p>
        </w:tc>
        <w:tc>
          <w:tcPr/>
          <w:p>
            <w:pPr>
              <w:pStyle w:val="Compact"/>
              <w:jc w:val="left"/>
            </w:pPr>
            <w:r>
              <w:t xml:space="preserve">1</w:t>
            </w:r>
          </w:p>
        </w:tc>
      </w:tr>
      <w:tr>
        <w:tc>
          <w:tcPr/>
          <w:p>
            <w:pPr>
              <w:pStyle w:val="Compact"/>
              <w:jc w:val="left"/>
            </w:pPr>
            <w:r>
              <w:t xml:space="preserve">2</w:t>
            </w:r>
          </w:p>
        </w:tc>
        <w:tc>
          <w:tcPr/>
          <w:p>
            <w:pPr>
              <w:pStyle w:val="Compact"/>
              <w:jc w:val="left"/>
            </w:pPr>
            <w:r>
              <w:t xml:space="preserve">7.5</w:t>
            </w:r>
          </w:p>
        </w:tc>
      </w:tr>
      <w:tr>
        <w:tc>
          <w:tcPr/>
          <w:p>
            <w:pPr>
              <w:pStyle w:val="Compact"/>
              <w:jc w:val="left"/>
            </w:pPr>
            <w:r>
              <w:t xml:space="preserve">6.5</w:t>
            </w:r>
          </w:p>
        </w:tc>
        <w:tc>
          <w:tcPr/>
          <w:p>
            <w:pPr>
              <w:pStyle w:val="Compact"/>
              <w:jc w:val="left"/>
            </w:pPr>
            <w:r>
              <w:t xml:space="preserve">22</w:t>
            </w:r>
          </w:p>
        </w:tc>
      </w:tr>
      <w:tr>
        <w:tc>
          <w:tcPr/>
          <w:p>
            <w:pPr>
              <w:pStyle w:val="Compact"/>
              <w:jc w:val="left"/>
            </w:pPr>
            <w:r>
              <w:t xml:space="preserve">3</w:t>
            </w:r>
          </w:p>
        </w:tc>
        <w:tc>
          <w:tcPr/>
          <w:p>
            <w:pPr>
              <w:pStyle w:val="Compact"/>
              <w:jc w:val="left"/>
            </w:pPr>
            <w:r>
              <w:t xml:space="preserve">9.5</w:t>
            </w:r>
          </w:p>
        </w:tc>
      </w:tr>
      <w:tr>
        <w:tc>
          <w:tcPr/>
          <w:p>
            <w:pPr>
              <w:pStyle w:val="Compact"/>
              <w:jc w:val="left"/>
            </w:pPr>
            <w:r>
              <w:t xml:space="preserve">0.5</w:t>
            </w:r>
          </w:p>
        </w:tc>
        <w:tc>
          <w:tcPr/>
          <w:p>
            <w:pPr>
              <w:pStyle w:val="Compact"/>
              <w:jc w:val="left"/>
            </w:pPr>
            <w:r>
              <w:t xml:space="preserve">2</w:t>
            </w:r>
          </w:p>
        </w:tc>
      </w:tr>
      <w:tr>
        <w:tc>
          <w:tcPr/>
          <w:p>
            <w:pPr>
              <w:pStyle w:val="Compact"/>
              <w:jc w:val="left"/>
            </w:pPr>
            <w:r>
              <w:t xml:space="preserve">1.25</w:t>
            </w:r>
          </w:p>
        </w:tc>
        <w:tc>
          <w:tcPr/>
          <w:p>
            <w:pPr>
              <w:pStyle w:val="Compact"/>
              <w:jc w:val="left"/>
            </w:pPr>
            <w:r>
              <w:t xml:space="preserve">3.5</w:t>
            </w:r>
          </w:p>
        </w:tc>
      </w:tr>
      <w:tr>
        <w:tc>
          <w:tcPr/>
          <w:p>
            <w:pPr>
              <w:pStyle w:val="Compact"/>
              <w:jc w:val="left"/>
            </w:pPr>
            <w:r>
              <w:t xml:space="preserve">3.5</w:t>
            </w:r>
          </w:p>
        </w:tc>
        <w:tc>
          <w:tcPr/>
          <w:p>
            <w:pPr>
              <w:pStyle w:val="Compact"/>
              <w:jc w:val="left"/>
            </w:pPr>
            <w:r>
              <w:t xml:space="preserve">12.5</w:t>
            </w:r>
          </w:p>
        </w:tc>
      </w:tr>
      <w:tr>
        <w:tc>
          <w:tcPr/>
          <w:p>
            <w:pPr>
              <w:pStyle w:val="Compact"/>
              <w:jc w:val="left"/>
            </w:pPr>
            <w:r>
              <w:t xml:space="preserve">1.5</w:t>
            </w:r>
          </w:p>
        </w:tc>
        <w:tc>
          <w:tcPr/>
          <w:p>
            <w:pPr>
              <w:pStyle w:val="Compact"/>
              <w:jc w:val="left"/>
            </w:pPr>
            <w:r>
              <w:t xml:space="preserve">5</w:t>
            </w:r>
          </w:p>
        </w:tc>
      </w:tr>
      <w:tr>
        <w:tc>
          <w:tcPr/>
          <w:p>
            <w:pPr>
              <w:pStyle w:val="Compact"/>
              <w:jc w:val="left"/>
            </w:pPr>
            <w:r>
              <w:t xml:space="preserve">4</w:t>
            </w:r>
          </w:p>
        </w:tc>
        <w:tc>
          <w:tcPr/>
          <w:p>
            <w:pPr>
              <w:pStyle w:val="Compact"/>
              <w:jc w:val="left"/>
            </w:pPr>
            <w:r>
              <w:t xml:space="preserve">14</w:t>
            </w:r>
          </w:p>
        </w:tc>
      </w:tr>
      <w:tr>
        <w:tc>
          <w:tcPr/>
          <w:p>
            <w:pPr>
              <w:pStyle w:val="Compact"/>
              <w:jc w:val="left"/>
            </w:pPr>
            <w:r>
              <w:t xml:space="preserve">1</w:t>
            </w:r>
          </w:p>
        </w:tc>
        <w:tc>
          <w:tcPr/>
          <w:p>
            <w:pPr>
              <w:pStyle w:val="Compact"/>
              <w:jc w:val="left"/>
            </w:pPr>
            <w:r>
              <w:t xml:space="preserve">2.5</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short sides (cm)</w:t>
            </w:r>
          </w:p>
        </w:tc>
        <w:tc>
          <w:tcPr/>
          <w:p>
            <w:pPr>
              <w:pStyle w:val="Compact"/>
              <w:jc w:val="left"/>
            </w:pPr>
            <w:r>
              <w:t xml:space="preserve">length of perimeter (cm)</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1"/>
        </w:numPr>
        <w:pStyle w:val="Compact"/>
      </w:pPr>
      <w:r>
        <w:t xml:space="preserve">How can you organize the measurements from the first table so that any patterns are easier to see? Write the organized measurements in the empty table.</w:t>
      </w:r>
    </w:p>
    <w:p>
      <w:pPr>
        <w:numPr>
          <w:ilvl w:val="0"/>
          <w:numId w:val="1001"/>
        </w:numPr>
        <w:pStyle w:val="Compact"/>
      </w:pPr>
      <w:r>
        <w:t xml:space="preserve">For each of the following lengths, estimate the perimeter of an isosceles right triangle whose short sides have that length. Explain your reasoning for each triangle.</w:t>
      </w:r>
    </w:p>
    <w:p>
      <w:pPr>
        <w:numPr>
          <w:ilvl w:val="1"/>
          <w:numId w:val="1002"/>
        </w:numPr>
        <w:pStyle w:val="Compact"/>
      </w:pPr>
      <w:r>
        <w:t xml:space="preserve">length of short sides is 0.75 cm</w:t>
      </w:r>
    </w:p>
    <w:p>
      <w:pPr>
        <w:numPr>
          <w:ilvl w:val="1"/>
          <w:numId w:val="1002"/>
        </w:numPr>
        <w:pStyle w:val="Compact"/>
      </w:pPr>
      <w:r>
        <w:t xml:space="preserve">length of short sides is 5 cm</w:t>
      </w:r>
    </w:p>
    <w:p>
      <w:pPr>
        <w:numPr>
          <w:ilvl w:val="1"/>
          <w:numId w:val="1002"/>
        </w:numPr>
        <w:pStyle w:val="Compact"/>
      </w:pPr>
      <w:r>
        <w:t xml:space="preserve">length of short sides is 10 cm</w:t>
      </w:r>
    </w:p>
    <w:bookmarkStart w:id="25" w:name="are-you-ready-for-more"/>
    <w:p>
      <w:pPr>
        <w:pStyle w:val="Heading4"/>
      </w:pPr>
      <w:r>
        <w:t xml:space="preserve">Are you ready for more?</w:t>
      </w:r>
    </w:p>
    <w:p>
      <w:pPr>
        <w:pStyle w:val="FirstParagraph"/>
      </w:pPr>
      <w:r>
        <w:t xml:space="preserve">In addition to the graphic representations of data you have learned, there are others that make sense in other situations. Examine the maps showing the results of the elections for United States president for 2012 and 2016. In red are the states where a majority of electorate votes were cast for the Republican nominee. In blue are the states where a majority of the electorate votes were cast for the Democrat nominee.</w:t>
      </w:r>
    </w:p>
    <w:p>
      <w:pPr>
        <w:pStyle w:val="BodyText"/>
      </w:pPr>
      <w:r>
        <w:drawing>
          <wp:inline>
            <wp:extent cx="5082718" cy="1721763"/>
            <wp:effectExtent b="0" l="0" r="0" t="0"/>
            <wp:docPr descr="Two maps of the United States, 2012 and 2016, states colored red and blue according to election results. Please ask for further assistance." title="" id="23" name="Picture"/>
            <a:graphic>
              <a:graphicData uri="http://schemas.openxmlformats.org/drawingml/2006/picture">
                <pic:pic>
                  <pic:nvPicPr>
                    <pic:cNvPr descr="/app/tmp/embedder-1671073840.6008825.png" id="24" name="Picture"/>
                    <pic:cNvPicPr>
                      <a:picLocks noChangeArrowheads="1" noChangeAspect="1"/>
                    </pic:cNvPicPr>
                  </pic:nvPicPr>
                  <pic:blipFill>
                    <a:blip r:embed="rId22"/>
                    <a:stretch>
                      <a:fillRect/>
                    </a:stretch>
                  </pic:blipFill>
                  <pic:spPr bwMode="auto">
                    <a:xfrm>
                      <a:off x="0" y="0"/>
                      <a:ext cx="5082718" cy="1721763"/>
                    </a:xfrm>
                    <a:prstGeom prst="rect">
                      <a:avLst/>
                    </a:prstGeom>
                    <a:noFill/>
                    <a:ln w="9525">
                      <a:noFill/>
                      <a:headEnd/>
                      <a:tailEnd/>
                    </a:ln>
                  </pic:spPr>
                </pic:pic>
              </a:graphicData>
            </a:graphic>
          </wp:inline>
        </w:drawing>
      </w:r>
    </w:p>
    <w:p>
      <w:pPr>
        <w:numPr>
          <w:ilvl w:val="0"/>
          <w:numId w:val="1003"/>
        </w:numPr>
        <w:pStyle w:val="Compact"/>
      </w:pPr>
      <w:r>
        <w:t xml:space="preserve">What information can you see in these maps that would be more difficult to see in a bar graph showing the number of electorate votes for the 2 main candidates?</w:t>
      </w:r>
    </w:p>
    <w:p>
      <w:pPr>
        <w:numPr>
          <w:ilvl w:val="0"/>
          <w:numId w:val="1003"/>
        </w:numPr>
        <w:pStyle w:val="Compact"/>
      </w:pPr>
      <w:r>
        <w:t xml:space="preserve">Why are these representations appropriate for the data that is shown?</w:t>
      </w:r>
    </w:p>
    <w:bookmarkEnd w:id="25"/>
    <w:bookmarkEnd w:id="26"/>
    <w:bookmarkStart w:id="30" w:name="tables-and-their-scatter-plots"/>
    <w:p>
      <w:pPr>
        <w:pStyle w:val="Heading3"/>
      </w:pPr>
      <w:r>
        <w:t xml:space="preserve">17.3: Tables and Their Scatter Plots</w:t>
      </w:r>
    </w:p>
    <w:p>
      <w:pPr>
        <w:pStyle w:val="FirstParagraph"/>
      </w:pPr>
      <w:r>
        <w:t xml:space="preserve">Here are four</w:t>
      </w:r>
      <w:r>
        <w:t xml:space="preserve"> </w:t>
      </w:r>
      <w:r>
        <w:rPr>
          <w:bCs/>
          <w:b/>
        </w:rPr>
        <w:t xml:space="preserve">scatter plots</w:t>
      </w:r>
      <w:r>
        <w:t xml:space="preserve">. Your teacher will give you four tables of data.</w:t>
      </w:r>
    </w:p>
    <w:p>
      <w:pPr>
        <w:numPr>
          <w:ilvl w:val="0"/>
          <w:numId w:val="1004"/>
        </w:numPr>
        <w:pStyle w:val="Compact"/>
      </w:pPr>
      <w:r>
        <w:t xml:space="preserve">Match each table with one of the scatter plots.</w:t>
      </w:r>
    </w:p>
    <w:p>
      <w:pPr>
        <w:numPr>
          <w:ilvl w:val="0"/>
          <w:numId w:val="1004"/>
        </w:numPr>
        <w:pStyle w:val="Compact"/>
      </w:pPr>
      <w:r>
        <w:t xml:space="preserve">Use information from the tables to label the axes for each scatter plot.</w:t>
      </w:r>
    </w:p>
    <w:p>
      <w:pPr>
        <w:pStyle w:val="FirstParagraph"/>
      </w:pPr>
      <w:r>
        <w:drawing>
          <wp:inline>
            <wp:extent cx="5046020" cy="3486341"/>
            <wp:effectExtent b="0" l="0" r="0" t="0"/>
            <wp:docPr descr="Four scatterplots." title="" id="28" name="Picture"/>
            <a:graphic>
              <a:graphicData uri="http://schemas.openxmlformats.org/drawingml/2006/picture">
                <pic:pic>
                  <pic:nvPicPr>
                    <pic:cNvPr descr="/app/tmp/embedder-1671073840.6658752.png" id="29" name="Picture"/>
                    <pic:cNvPicPr>
                      <a:picLocks noChangeArrowheads="1" noChangeAspect="1"/>
                    </pic:cNvPicPr>
                  </pic:nvPicPr>
                  <pic:blipFill>
                    <a:blip r:embed="rId27"/>
                    <a:stretch>
                      <a:fillRect/>
                    </a:stretch>
                  </pic:blipFill>
                  <pic:spPr bwMode="auto">
                    <a:xfrm>
                      <a:off x="0" y="0"/>
                      <a:ext cx="5046020" cy="3486341"/>
                    </a:xfrm>
                    <a:prstGeom prst="rect">
                      <a:avLst/>
                    </a:prstGeom>
                    <a:noFill/>
                    <a:ln w="9525">
                      <a:noFill/>
                      <a:headEnd/>
                      <a:tailEnd/>
                    </a:ln>
                  </pic:spPr>
                </pic:pic>
              </a:graphicData>
            </a:graphic>
          </wp:inline>
        </w:drawing>
      </w:r>
    </w:p>
    <w:p>
      <w:pPr>
        <w:pStyle w:val="BodyText"/>
      </w:pPr>
      <w:r>
        <w:t xml:space="preserve"> </w:t>
      </w:r>
    </w:p>
    <w:bookmarkEnd w:id="30"/>
    <w:bookmarkStart w:id="37" w:name="lesson-17-summary"/>
    <w:p>
      <w:pPr>
        <w:pStyle w:val="Heading3"/>
      </w:pPr>
      <w:r>
        <w:t xml:space="preserve">Lesson 17 Summary</w:t>
      </w:r>
    </w:p>
    <w:p>
      <w:pPr>
        <w:pStyle w:val="FirstParagraph"/>
      </w:pPr>
      <w:r>
        <w:t xml:space="preserve">Consider the data collected from pulling back a toy car and then letting it go forward. In the first table, the data may not seem to have an obvious pattern. The second table has the same data and shows that both values are increasing together.</w:t>
      </w:r>
    </w:p>
    <w:p>
      <w:pPr>
        <w:pStyle w:val="BodyText"/>
      </w:pPr>
      <w:r>
        <w:t xml:space="preserve">Unorganized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pulled back (in)</w:t>
            </w:r>
          </w:p>
        </w:tc>
        <w:tc>
          <w:tcPr/>
          <w:p>
            <w:pPr>
              <w:pStyle w:val="Compact"/>
              <w:jc w:val="left"/>
            </w:pPr>
            <w:r>
              <w:t xml:space="preserve">distance traveled (in)</w:t>
            </w:r>
          </w:p>
        </w:tc>
      </w:tr>
      <w:tr>
        <w:tc>
          <w:tcPr/>
          <w:p>
            <w:pPr>
              <w:pStyle w:val="Compact"/>
              <w:jc w:val="left"/>
            </w:pPr>
            <w:r>
              <w:t xml:space="preserve">6</w:t>
            </w:r>
          </w:p>
        </w:tc>
        <w:tc>
          <w:tcPr/>
          <w:p>
            <w:pPr>
              <w:pStyle w:val="Compact"/>
              <w:jc w:val="left"/>
            </w:pPr>
            <w:r>
              <w:t xml:space="preserve">23.57</w:t>
            </w:r>
          </w:p>
        </w:tc>
      </w:tr>
      <w:tr>
        <w:tc>
          <w:tcPr/>
          <w:p>
            <w:pPr>
              <w:pStyle w:val="Compact"/>
              <w:jc w:val="left"/>
            </w:pPr>
            <w:r>
              <w:t xml:space="preserve">4</w:t>
            </w:r>
          </w:p>
        </w:tc>
        <w:tc>
          <w:tcPr/>
          <w:p>
            <w:pPr>
              <w:pStyle w:val="Compact"/>
              <w:jc w:val="left"/>
            </w:pPr>
            <w:r>
              <w:t xml:space="preserve">18.48</w:t>
            </w:r>
          </w:p>
        </w:tc>
      </w:tr>
      <w:tr>
        <w:tc>
          <w:tcPr/>
          <w:p>
            <w:pPr>
              <w:pStyle w:val="Compact"/>
              <w:jc w:val="left"/>
            </w:pPr>
            <w:r>
              <w:t xml:space="preserve">10</w:t>
            </w:r>
          </w:p>
        </w:tc>
        <w:tc>
          <w:tcPr/>
          <w:p>
            <w:pPr>
              <w:pStyle w:val="Compact"/>
              <w:jc w:val="left"/>
            </w:pPr>
            <w:r>
              <w:t xml:space="preserve">38.66</w:t>
            </w:r>
          </w:p>
        </w:tc>
      </w:tr>
      <w:tr>
        <w:tc>
          <w:tcPr/>
          <w:p>
            <w:pPr>
              <w:pStyle w:val="Compact"/>
              <w:jc w:val="left"/>
            </w:pPr>
            <w:r>
              <w:t xml:space="preserve">8</w:t>
            </w:r>
          </w:p>
        </w:tc>
        <w:tc>
          <w:tcPr/>
          <w:p>
            <w:pPr>
              <w:pStyle w:val="Compact"/>
              <w:jc w:val="left"/>
            </w:pPr>
            <w:r>
              <w:t xml:space="preserve">31.12</w:t>
            </w:r>
          </w:p>
        </w:tc>
      </w:tr>
      <w:tr>
        <w:tc>
          <w:tcPr/>
          <w:p>
            <w:pPr>
              <w:pStyle w:val="Compact"/>
              <w:jc w:val="left"/>
            </w:pPr>
            <w:r>
              <w:t xml:space="preserve">2</w:t>
            </w:r>
          </w:p>
        </w:tc>
        <w:tc>
          <w:tcPr/>
          <w:p>
            <w:pPr>
              <w:pStyle w:val="Compact"/>
              <w:jc w:val="left"/>
            </w:pPr>
            <w:r>
              <w:t xml:space="preserve">13.86</w:t>
            </w:r>
          </w:p>
        </w:tc>
      </w:tr>
      <w:tr>
        <w:tc>
          <w:tcPr/>
          <w:p>
            <w:pPr>
              <w:pStyle w:val="Compact"/>
              <w:jc w:val="left"/>
            </w:pPr>
            <w:r>
              <w:t xml:space="preserve">1</w:t>
            </w:r>
          </w:p>
        </w:tc>
        <w:tc>
          <w:tcPr/>
          <w:p>
            <w:pPr>
              <w:pStyle w:val="Compact"/>
              <w:jc w:val="left"/>
            </w:pPr>
            <w:r>
              <w:t xml:space="preserve">8.95</w:t>
            </w:r>
          </w:p>
        </w:tc>
      </w:tr>
    </w:tbl>
    <w:p>
      <w:pPr>
        <w:pStyle w:val="BodyText"/>
      </w:pPr>
      <w:r>
        <w:t xml:space="preserve">Organized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pulled back (in)</w:t>
            </w:r>
          </w:p>
        </w:tc>
        <w:tc>
          <w:tcPr/>
          <w:p>
            <w:pPr>
              <w:pStyle w:val="Compact"/>
              <w:jc w:val="left"/>
            </w:pPr>
            <w:r>
              <w:t xml:space="preserve">distance traveled (in)</w:t>
            </w:r>
          </w:p>
        </w:tc>
      </w:tr>
      <w:tr>
        <w:tc>
          <w:tcPr/>
          <w:p>
            <w:pPr>
              <w:pStyle w:val="Compact"/>
              <w:jc w:val="left"/>
            </w:pPr>
            <w:r>
              <w:t xml:space="preserve">1</w:t>
            </w:r>
          </w:p>
        </w:tc>
        <w:tc>
          <w:tcPr/>
          <w:p>
            <w:pPr>
              <w:pStyle w:val="Compact"/>
              <w:jc w:val="left"/>
            </w:pPr>
            <w:r>
              <w:t xml:space="preserve">8.95</w:t>
            </w:r>
          </w:p>
        </w:tc>
      </w:tr>
      <w:tr>
        <w:tc>
          <w:tcPr/>
          <w:p>
            <w:pPr>
              <w:pStyle w:val="Compact"/>
              <w:jc w:val="left"/>
            </w:pPr>
            <w:r>
              <w:t xml:space="preserve">2</w:t>
            </w:r>
          </w:p>
        </w:tc>
        <w:tc>
          <w:tcPr/>
          <w:p>
            <w:pPr>
              <w:pStyle w:val="Compact"/>
              <w:jc w:val="left"/>
            </w:pPr>
            <w:r>
              <w:t xml:space="preserve">13.86</w:t>
            </w:r>
          </w:p>
        </w:tc>
      </w:tr>
      <w:tr>
        <w:tc>
          <w:tcPr/>
          <w:p>
            <w:pPr>
              <w:pStyle w:val="Compact"/>
              <w:jc w:val="left"/>
            </w:pPr>
            <w:r>
              <w:t xml:space="preserve">4</w:t>
            </w:r>
          </w:p>
        </w:tc>
        <w:tc>
          <w:tcPr/>
          <w:p>
            <w:pPr>
              <w:pStyle w:val="Compact"/>
              <w:jc w:val="left"/>
            </w:pPr>
            <w:r>
              <w:t xml:space="preserve">18.48</w:t>
            </w:r>
          </w:p>
        </w:tc>
      </w:tr>
      <w:tr>
        <w:tc>
          <w:tcPr/>
          <w:p>
            <w:pPr>
              <w:pStyle w:val="Compact"/>
              <w:jc w:val="left"/>
            </w:pPr>
            <w:r>
              <w:t xml:space="preserve">6</w:t>
            </w:r>
          </w:p>
        </w:tc>
        <w:tc>
          <w:tcPr/>
          <w:p>
            <w:pPr>
              <w:pStyle w:val="Compact"/>
              <w:jc w:val="left"/>
            </w:pPr>
            <w:r>
              <w:t xml:space="preserve">23.57</w:t>
            </w:r>
          </w:p>
        </w:tc>
      </w:tr>
      <w:tr>
        <w:tc>
          <w:tcPr/>
          <w:p>
            <w:pPr>
              <w:pStyle w:val="Compact"/>
              <w:jc w:val="left"/>
            </w:pPr>
            <w:r>
              <w:t xml:space="preserve">8</w:t>
            </w:r>
          </w:p>
        </w:tc>
        <w:tc>
          <w:tcPr/>
          <w:p>
            <w:pPr>
              <w:pStyle w:val="Compact"/>
              <w:jc w:val="left"/>
            </w:pPr>
            <w:r>
              <w:t xml:space="preserve">31.12</w:t>
            </w:r>
          </w:p>
        </w:tc>
      </w:tr>
      <w:tr>
        <w:tc>
          <w:tcPr/>
          <w:p>
            <w:pPr>
              <w:pStyle w:val="Compact"/>
              <w:jc w:val="left"/>
            </w:pPr>
            <w:r>
              <w:t xml:space="preserve">10</w:t>
            </w:r>
          </w:p>
        </w:tc>
        <w:tc>
          <w:tcPr/>
          <w:p>
            <w:pPr>
              <w:pStyle w:val="Compact"/>
              <w:jc w:val="left"/>
            </w:pPr>
            <w:r>
              <w:t xml:space="preserve">38.66</w:t>
            </w:r>
          </w:p>
        </w:tc>
      </w:tr>
    </w:tbl>
    <w:p>
      <w:pPr>
        <w:pStyle w:val="BodyText"/>
      </w:pPr>
      <w:r>
        <w:t xml:space="preserve">A scatter plot of the data makes the pattern clear enough that we can estimate how far the car will travel when it is pulled back 5 inches.</w:t>
      </w:r>
    </w:p>
    <w:p>
      <w:pPr>
        <w:pStyle w:val="BodyText"/>
      </w:pPr>
      <w:r>
        <w:t xml:space="preserve">Patterns in data can sometimes become more obvious when reorganized in a table or when represented in</w:t>
      </w:r>
      <w:r>
        <w:t xml:space="preserve"> </w:t>
      </w:r>
      <w:r>
        <w:rPr>
          <w:bCs/>
          <w:b/>
        </w:rPr>
        <w:t xml:space="preserve">scatter plots</w:t>
      </w:r>
      <w:r>
        <w:t xml:space="preserve"> </w:t>
      </w:r>
      <w:r>
        <w:t xml:space="preserve">or other diagrams. If a pattern is observed, it can sometimes be used to make predictions.</w:t>
      </w:r>
    </w:p>
    <w:p>
      <w:pPr>
        <w:pStyle w:val="BodyText"/>
      </w:pPr>
      <w:r>
        <w:drawing>
          <wp:inline>
            <wp:extent cx="3715705" cy="2565824"/>
            <wp:effectExtent b="0" l="0" r="0" t="0"/>
            <wp:docPr descr="Scatterplot." title="" id="32" name="Picture"/>
            <a:graphic>
              <a:graphicData uri="http://schemas.openxmlformats.org/drawingml/2006/picture">
                <pic:pic>
                  <pic:nvPicPr>
                    <pic:cNvPr descr="/app/tmp/embedder-1671073840.705155.png" id="33" name="Picture"/>
                    <pic:cNvPicPr>
                      <a:picLocks noChangeArrowheads="1" noChangeAspect="1"/>
                    </pic:cNvPicPr>
                  </pic:nvPicPr>
                  <pic:blipFill>
                    <a:blip r:embed="rId31"/>
                    <a:stretch>
                      <a:fillRect/>
                    </a:stretch>
                  </pic:blipFill>
                  <pic:spPr bwMode="auto">
                    <a:xfrm>
                      <a:off x="0" y="0"/>
                      <a:ext cx="3715705" cy="256582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2022-12-15T03:10:41Z</dcterms:created>
  <dcterms:modified xsi:type="dcterms:W3CDTF">2022-12-15T03:10:41Z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Oja7M/BxPAx3m/EhhcLtq7CXeFE4wI8CAui/d0K+uSzZeEF0nFKz2H8IW6xUxGxujKcw/WVZ99UX9HmQ1dPvhA==</vt:lpwstr>
  </property>
</Properties>
</file>