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7e275299f985ad26d322d7dabf164b8c10d76"/>
    <w:p>
      <w:pPr>
        <w:pStyle w:val="Heading2"/>
      </w:pPr>
      <w:r>
        <w:t xml:space="preserve">Lección 3: El mismo denominador o numerador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fracciones que tengan el mismo denominador o el mismo numerador.</w:t>
      </w:r>
    </w:p>
    <w:bookmarkStart w:id="21" w:name="X58ff64f45447e4611d3f822e69c2b045ea43ce8"/>
    <w:p>
      <w:pPr>
        <w:pStyle w:val="Heading3"/>
      </w:pPr>
      <w:r>
        <w:t xml:space="preserve">Calentamiento: Conversación numérica: Cientos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300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378</m:t>
        </m:r>
      </m:oMath>
    </w:p>
    <w:bookmarkEnd w:id="21"/>
    <w:bookmarkStart w:id="25" w:name="X03e04e0e5b6826e28af3f19ab255bf2245f9753"/>
    <w:p>
      <w:pPr>
        <w:pStyle w:val="Heading3"/>
      </w:pPr>
      <w:r>
        <w:t xml:space="preserve">3.1: Fracciones que tienen el mismo denominador</w:t>
      </w:r>
    </w:p>
    <w:p>
      <w:pPr>
        <w:numPr>
          <w:ilvl w:val="0"/>
          <w:numId w:val="1003"/>
        </w:numPr>
        <w:pStyle w:val="Compact"/>
      </w:pPr>
      <w:r>
        <w:t xml:space="preserve">Este diagrama muestra un grupo de tiras de fracciones. Marca cada rectángulo con la fracción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628900"/>
            <wp:effectExtent b="0" l="0" r="0" t="0"/>
            <wp:docPr descr="Fraction Strips." title="" id="23" name="Picture"/>
            <a:graphic>
              <a:graphicData uri="http://schemas.openxmlformats.org/drawingml/2006/picture">
                <pic:pic>
                  <pic:nvPicPr>
                    <pic:cNvPr descr="/app/tmp/embedder-1671063250.49583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Para cada una de estas parejas, marca la fracción mayor. Si te ayuda, usa el diagrama de las tiras de fracciones.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¿Qué patrón observas en las fracciones que marcaste? ¿Cómo puedes explicar este patrón?</w:t>
      </w:r>
    </w:p>
    <w:p>
      <w:pPr>
        <w:numPr>
          <w:ilvl w:val="0"/>
          <w:numId w:val="1003"/>
        </w:numPr>
        <w:pStyle w:val="Compact"/>
      </w:pPr>
      <w:r>
        <w:t xml:space="preserve">Cuál es mayor: ¿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? Explica tu razonamiento.</w:t>
      </w:r>
    </w:p>
    <w:bookmarkEnd w:id="25"/>
    <w:bookmarkStart w:id="29" w:name="fracciones-que-tienen-el-mismo-numerador"/>
    <w:p>
      <w:pPr>
        <w:pStyle w:val="Heading3"/>
      </w:pPr>
      <w:r>
        <w:t xml:space="preserve">3.2: Fracciones que tienen el mismo numerador</w:t>
      </w:r>
    </w:p>
    <w:p>
      <w:pPr>
        <w:numPr>
          <w:ilvl w:val="0"/>
          <w:numId w:val="1005"/>
        </w:numPr>
      </w:pPr>
      <w:r>
        <w:t xml:space="preserve">En cada pareja de fracciones, marca la fracción mayor. Si te ayuda, usa el diagrama de las tiras de fracciones.</w:t>
      </w:r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¿Qué patrón observas sobre las fracciones que marcaste? ¿Cómo puedes explicar este patrón?</w:t>
      </w:r>
    </w:p>
    <w:p>
      <w:pPr>
        <w:numPr>
          <w:ilvl w:val="0"/>
          <w:numId w:val="1005"/>
        </w:numPr>
        <w:pStyle w:val="Compact"/>
      </w:pPr>
      <w:r>
        <w:t xml:space="preserve">Cuál es mayor: ¿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70</m:t>
            </m:r>
          </m:num>
          <m:den>
            <m:r>
              <m:t>20</m:t>
            </m:r>
          </m:den>
        </m:f>
      </m:oMath>
      <w:r>
        <w:t xml:space="preserve">? Explica tu razonamiento.</w:t>
      </w:r>
    </w:p>
    <w:p>
      <w:pPr>
        <w:numPr>
          <w:ilvl w:val="0"/>
          <w:numId w:val="1005"/>
        </w:numPr>
        <w:pStyle w:val="Compact"/>
      </w:pPr>
      <w:r>
        <w:t xml:space="preserve">Tyler está comparando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 con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Dice: “10 es mayor que 6, entonces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”. Explica o muestra por qué la conclusión de Tyler es incorrecta.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2022-12-15T00:14:11Z</dcterms:created>
  <dcterms:modified xsi:type="dcterms:W3CDTF">2022-12-15T00:14:11Z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Y7wC/pfa3UIDuaGDrntBSodQA3U5viUF5m03Blrt3m5HuEen+1IlH8ZdAp3/H20ivrh68y00eB5j59J2LuLdMw==</vt:lpwstr>
  </property>
</Properties>
</file>