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de271095c08b5f4ec81b3d6a4f159a58d140f"/>
    <w:p>
      <w:pPr>
        <w:pStyle w:val="Heading2"/>
      </w:pPr>
      <w:r>
        <w:t xml:space="preserve">Lección 5: Relacionemos división y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Expliquemos la relación que hay entre la división y las fracciones.</w:t>
      </w:r>
    </w:p>
    <w:bookmarkStart w:id="21" w:name="X05338291b8f55ef511448b56eac767a8b21b703"/>
    <w:p>
      <w:pPr>
        <w:pStyle w:val="Heading3"/>
      </w:pPr>
      <w:r>
        <w:t xml:space="preserve">Calentamiento: Verdadero o falso: Interpretemos fracciones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bookmarkEnd w:id="21"/>
    <w:bookmarkStart w:id="34" w:name="relacionemos-libras-con-personas"/>
    <w:p>
      <w:pPr>
        <w:pStyle w:val="Heading3"/>
      </w:pPr>
      <w:r>
        <w:t xml:space="preserve">5.1: Relacionemos libras con personas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>
            <w:vMerge w:val="restart"/>
          </w:tcPr>
          <w:p>
            <w:pPr>
              <w:pStyle w:val="Compact"/>
            </w:pP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Cada persona recibe ________ libra(s) de arándanos.</w:t>
            </w:r>
          </w:p>
        </w:tc>
      </w:tr>
      <w:tr>
        <w:trPr>
          <w:tblHeader w:val="true"/>
        </w:trP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center"/>
            </w:pPr>
            <w:r>
              <w:t xml:space="preserve">más de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exactamente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menos de 1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jc w:val="left"/>
            </w:pPr>
            <w:r>
              <w:t xml:space="preserve">__________ personas comparten 7 libras de arándanos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197.973698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 personas comparten __________ libras de arándanos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198.01502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Tres personas comparten __________ libras de arándanos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198.0299032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__________ personas comparten __________ libras de arándanos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198.0470583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Llena los espacios en blanco de acuerdo a las reglas de la tabla.</w:t>
      </w:r>
    </w:p>
    <w:p>
      <w:pPr>
        <w:numPr>
          <w:ilvl w:val="0"/>
          <w:numId w:val="1003"/>
        </w:numPr>
        <w:pStyle w:val="Compact"/>
      </w:pPr>
      <w:r>
        <w:t xml:space="preserve">¿Cuántas libras de arándanos recibió cada persona en el caso en el que recibió más de 1 libra de arándanos?</w:t>
      </w:r>
    </w:p>
    <w:p>
      <w:pPr>
        <w:numPr>
          <w:ilvl w:val="0"/>
          <w:numId w:val="1003"/>
        </w:numPr>
        <w:pStyle w:val="Compact"/>
      </w:pPr>
      <w:r>
        <w:t xml:space="preserve">¿Cuántas libras de arándanos recibió cada persona en el caso en el que recibió menos de 1 libra de arándanos?</w:t>
      </w:r>
    </w:p>
    <w:p>
      <w:pPr>
        <w:pStyle w:val="FirstParagraph"/>
      </w:pPr>
      <w:r>
        <w:t xml:space="preserve">(Haz una pausa para escuchar las instrucciones de tu profesor).</w:t>
      </w:r>
    </w:p>
    <w:p>
      <w:pPr>
        <w:numPr>
          <w:ilvl w:val="0"/>
          <w:numId w:val="1004"/>
        </w:numPr>
        <w:pStyle w:val="Compact"/>
      </w:pPr>
      <w:r>
        <w:t xml:space="preserve">Haz un póster con tu grupo que muestre o explique lo que pensaron sobre las siguientes preguntas:</w:t>
      </w:r>
    </w:p>
    <w:p>
      <w:pPr>
        <w:numPr>
          <w:ilvl w:val="1"/>
          <w:numId w:val="1005"/>
        </w:numPr>
        <w:pStyle w:val="Compact"/>
      </w:pPr>
      <w:r>
        <w:t xml:space="preserve">¿Qué es cierto sobre todas las parejas de números que se usaron cuando cada persona recibió menos de 1 libra de arándanos?</w:t>
      </w:r>
    </w:p>
    <w:p>
      <w:pPr>
        <w:numPr>
          <w:ilvl w:val="1"/>
          <w:numId w:val="1005"/>
        </w:numPr>
        <w:pStyle w:val="Compact"/>
      </w:pPr>
      <w:r>
        <w:t xml:space="preserve">¿Qué es cierto sobre todas las parejas de números que se usaron cuando cada persona recibió más de 1 libra?</w:t>
      </w:r>
    </w:p>
    <w:p>
      <w:pPr>
        <w:numPr>
          <w:ilvl w:val="1"/>
          <w:numId w:val="1005"/>
        </w:numPr>
        <w:pStyle w:val="Compact"/>
      </w:pPr>
      <w:r>
        <w:t xml:space="preserve">¿Qué es cierto sobre todas las parejas de números que se usaron cuando cada persona recibió exactamente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libra?</w:t>
      </w:r>
    </w:p>
    <w:bookmarkEnd w:id="34"/>
    <w:bookmarkStart w:id="35" w:name="por-qué-funciona"/>
    <w:p>
      <w:pPr>
        <w:pStyle w:val="Heading3"/>
      </w:pPr>
      <w:r>
        <w:t xml:space="preserve">5.2: ¿Por qué funciona?</w:t>
      </w:r>
    </w:p>
    <w:p>
      <w:pPr>
        <w:numPr>
          <w:ilvl w:val="0"/>
          <w:numId w:val="1006"/>
        </w:numPr>
        <w:pStyle w:val="Compact"/>
      </w:pPr>
      <w:r>
        <w:t xml:space="preserve">¿Qué números pueden reemplazar los signos de interrogación en cada ecuación? Explica tu razonamiento.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÷</m:t>
              </m:r>
              <m:r>
                <m:t>2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?</m:t>
                  </m:r>
                </m:num>
                <m:den>
                  <m:r>
                    <m:t>2</m:t>
                  </m:r>
                </m:den>
              </m:f>
            </m:e>
            <m:e>
              <m:phant>
                <m:phantPr>
                  <m:show m:val="0"/>
                </m:phantPr>
                <m:e>
                  <m:r>
                    <m:t>88888</m:t>
                  </m:r>
                </m:e>
              </m:phant>
            </m:e>
            <m:e>
              <m:r>
                <m:t>2</m:t>
              </m:r>
              <m:r>
                <m:rPr>
                  <m:sty m:val="p"/>
                </m:rPr>
                <m:t>÷</m:t>
              </m:r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rPr>
                      <m:sty m:val="p"/>
                    </m:rPr>
                    <m:t>?</m:t>
                  </m:r>
                </m:den>
              </m:f>
            </m:e>
          </m:mr>
        </m:m>
      </m:oMath>
      <w:r>
        <w:t xml:space="preserve"> </w:t>
      </w:r>
      <w:r>
        <w:t xml:space="preserve">(Haz una pausa para escuchar las instrucciones del profesor).</w:t>
      </w:r>
    </w:p>
    <w:p>
      <w:pPr>
        <w:numPr>
          <w:ilvl w:val="0"/>
          <w:numId w:val="1006"/>
        </w:numPr>
        <w:pStyle w:val="Compact"/>
      </w:pPr>
      <w:r>
        <w:t xml:space="preserve">Con tu pareja, explica por qué cualquier expresión de división se puede interpretar como una fracción. Pueden usar diagramas, expresiones, ecuaciones y palabras.</w:t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que hay una relación entre la división y las fracciones.</w:t>
      </w:r>
    </w:p>
    <w:p>
      <w:pPr>
        <w:pStyle w:val="BodyText"/>
      </w:pPr>
      <w:r>
        <w:t xml:space="preserve">Podemos ver esta relación en diagramas, situaciones y ecuaciones. Este diagrama representa 2 sándwiches que se reparten en partes iguales entre 5 personas. Cada persona recibirá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de un sándwich. La ecuación </w:t>
      </w:r>
      <m:oMath>
        <m:r>
          <m:t>2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también representa la situación.</w:t>
      </w:r>
    </w:p>
    <w:p>
      <w:pPr>
        <w:pStyle w:val="BodyText"/>
      </w:pPr>
      <w:r>
        <w:drawing>
          <wp:inline>
            <wp:extent cx="2971800" cy="960122"/>
            <wp:effectExtent b="0" l="0" r="0" t="0"/>
            <wp:docPr descr="2 diagrams of equal lengths. 5 equal parts. 1 part shaded. Total length, 1." title="" id="37" name="Picture"/>
            <a:graphic>
              <a:graphicData uri="http://schemas.openxmlformats.org/drawingml/2006/picture">
                <pic:pic>
                  <pic:nvPicPr>
                    <pic:cNvPr descr="/app/tmp/embedder-1671065198.063721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2022-12-15T00:46:38Z</dcterms:created>
  <dcterms:modified xsi:type="dcterms:W3CDTF">2022-12-15T00:46:38Z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I2/7+bCrarDBOsr+bHP9XrOYQLHPWrrDtxmvKS6Q4+QHa76g3COS7QTeaeA9F9E2inA5N9vQ59gyk0pZWp/guQ==</vt:lpwstr>
  </property>
</Properties>
</file>