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8.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approximating-pi"/>
    <w:p>
      <w:pPr>
        <w:pStyle w:val="Heading2"/>
      </w:pPr>
      <w:r>
        <w:t xml:space="preserve">Lesson 11: Approximating Pi</w:t>
      </w:r>
    </w:p>
    <w:bookmarkEnd w:id="20"/>
    <w:p>
      <w:pPr>
        <w:numPr>
          <w:ilvl w:val="0"/>
          <w:numId w:val="1001"/>
        </w:numPr>
        <w:pStyle w:val="Compact"/>
      </w:pPr>
      <w:r>
        <w:t xml:space="preserve">Let’s approximate the value of pi.</w:t>
      </w:r>
    </w:p>
    <w:bookmarkStart w:id="27" w:name="more-sides"/>
    <w:p>
      <w:pPr>
        <w:pStyle w:val="Heading3"/>
      </w:pPr>
      <w:r>
        <w:t xml:space="preserve">11.1: More Sides</w:t>
      </w:r>
    </w:p>
    <w:p>
      <w:pPr>
        <w:pStyle w:val="FirstParagraph"/>
      </w:pPr>
      <w:r>
        <w:drawing>
          <wp:inline>
            <wp:extent cx="1920239" cy="1920239"/>
            <wp:effectExtent b="0" l="0" r="0" t="0"/>
            <wp:docPr descr="Square BCDE inside of circle with center A, radius = 1. Shaded region outside of square. Distance between vertices of square = the square root of 2. " title="" id="22" name="Picture"/>
            <a:graphic>
              <a:graphicData uri="http://schemas.openxmlformats.org/drawingml/2006/picture">
                <pic:pic>
                  <pic:nvPicPr>
                    <pic:cNvPr descr="/app/tmp/embedder-1670997631.6969166.png" id="23" name="Picture"/>
                    <pic:cNvPicPr>
                      <a:picLocks noChangeArrowheads="1" noChangeAspect="1"/>
                    </pic:cNvPicPr>
                  </pic:nvPicPr>
                  <pic:blipFill>
                    <a:blip r:embed="rId21"/>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Hexagon BCDEFG inside of circle with center A, radius = 1. Shaded region outside of hexagon. Distance between vertices of hexagon = 1." title="" id="25" name="Picture"/>
            <a:graphic>
              <a:graphicData uri="http://schemas.openxmlformats.org/drawingml/2006/picture">
                <pic:pic>
                  <pic:nvPicPr>
                    <pic:cNvPr descr="/app/tmp/embedder-1670997631.758298.png" id="26" name="Picture"/>
                    <pic:cNvPicPr>
                      <a:picLocks noChangeArrowheads="1" noChangeAspect="1"/>
                    </pic:cNvPicPr>
                  </pic:nvPicPr>
                  <pic:blipFill>
                    <a:blip r:embed="rId24"/>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t xml:space="preserve">Calculate the area of the shaded regions.</w:t>
      </w:r>
    </w:p>
    <w:bookmarkEnd w:id="27"/>
    <w:bookmarkStart w:id="31" w:name="n-sides"/>
    <w:p>
      <w:pPr>
        <w:pStyle w:val="Heading3"/>
      </w:pPr>
      <w:r>
        <w:t xml:space="preserve">11.2: N Sides</w:t>
      </w:r>
    </w:p>
    <w:p>
      <w:pPr>
        <w:pStyle w:val="FirstParagraph"/>
      </w:pPr>
      <w:r>
        <w:t xml:space="preserve">Here is one part of a regular</w:t>
      </w:r>
      <w:r>
        <w:t xml:space="preserve"> </w:t>
      </w:r>
      <m:oMath>
        <m:r>
          <m:t>n</m:t>
        </m:r>
      </m:oMath>
      <w:r>
        <w:t xml:space="preserve">-sided polygon inscribed in a circle of radius 1.</w:t>
      </w:r>
    </w:p>
    <w:p>
      <w:pPr>
        <w:pStyle w:val="BodyText"/>
      </w:pPr>
      <w:r>
        <w:t xml:space="preserve">Come up with a general formula for the perimeter of the polygon in terms of</w:t>
      </w:r>
      <w:r>
        <w:t xml:space="preserve"> </w:t>
      </w:r>
      <m:oMath>
        <m:r>
          <m:t>n</m:t>
        </m:r>
      </m:oMath>
      <w:r>
        <w:t xml:space="preserve">.  Explain or show your reasoning.</w:t>
      </w:r>
    </w:p>
    <w:p>
      <w:pPr>
        <w:pStyle w:val="BodyText"/>
      </w:pPr>
      <w:r>
        <w:drawing>
          <wp:inline>
            <wp:extent cx="1920239" cy="1920239"/>
            <wp:effectExtent b="0" l="0" r="0" t="0"/>
            <wp:docPr descr="Circle with radius = 1 unit. Isosceles triangle drawn inside of circle, left and right side lengths of triangle = radius of circle. One vertex of triangle at center of circle." title="" id="29" name="Picture"/>
            <a:graphic>
              <a:graphicData uri="http://schemas.openxmlformats.org/drawingml/2006/picture">
                <pic:pic>
                  <pic:nvPicPr>
                    <pic:cNvPr descr="/app/tmp/embedder-1670997631.8351893.png" id="30" name="Picture"/>
                    <pic:cNvPicPr>
                      <a:picLocks noChangeArrowheads="1" noChangeAspect="1"/>
                    </pic:cNvPicPr>
                  </pic:nvPicPr>
                  <pic:blipFill>
                    <a:blip r:embed="rId28"/>
                    <a:stretch>
                      <a:fillRect/>
                    </a:stretch>
                  </pic:blipFill>
                  <pic:spPr bwMode="auto">
                    <a:xfrm>
                      <a:off x="0" y="0"/>
                      <a:ext cx="1920239" cy="1920239"/>
                    </a:xfrm>
                    <a:prstGeom prst="rect">
                      <a:avLst/>
                    </a:prstGeom>
                    <a:noFill/>
                    <a:ln w="9525">
                      <a:noFill/>
                      <a:headEnd/>
                      <a:tailEnd/>
                    </a:ln>
                  </pic:spPr>
                </pic:pic>
              </a:graphicData>
            </a:graphic>
          </wp:inline>
        </w:drawing>
      </w:r>
    </w:p>
    <w:bookmarkEnd w:id="31"/>
    <w:bookmarkStart w:id="33" w:name="so-many-sides"/>
    <w:p>
      <w:pPr>
        <w:pStyle w:val="Heading3"/>
      </w:pPr>
      <w:r>
        <w:t xml:space="preserve">11.3: So Many Sides</w:t>
      </w:r>
    </w:p>
    <w:p>
      <w:pPr>
        <w:pStyle w:val="FirstParagraph"/>
      </w:pPr>
      <w:r>
        <w:t xml:space="preserve">Let's use the expression you came up with to approximate the value of</w:t>
      </w:r>
      <w:r>
        <w:t xml:space="preserve"> </w:t>
      </w:r>
      <m:oMath>
        <m:r>
          <m:t>π</m:t>
        </m:r>
      </m:oMath>
      <w:r>
        <w:t xml:space="preserve">.</w:t>
      </w:r>
    </w:p>
    <w:p>
      <w:pPr>
        <w:numPr>
          <w:ilvl w:val="0"/>
          <w:numId w:val="1002"/>
        </w:numPr>
        <w:pStyle w:val="Compact"/>
      </w:pPr>
      <w:r>
        <w:t xml:space="preserve">How close is the approximation when</w:t>
      </w:r>
      <w:r>
        <w:t xml:space="preserve"> </w:t>
      </w:r>
      <m:oMath>
        <m:r>
          <m:t>n</m:t>
        </m:r>
        <m:r>
          <m:rPr>
            <m:sty m:val="p"/>
          </m:rPr>
          <m:t>=</m:t>
        </m:r>
        <m:r>
          <m:t>6</m:t>
        </m:r>
      </m:oMath>
      <w:r>
        <w:t xml:space="preserve">?</w:t>
      </w:r>
    </w:p>
    <w:p>
      <w:pPr>
        <w:numPr>
          <w:ilvl w:val="0"/>
          <w:numId w:val="1002"/>
        </w:numPr>
        <w:pStyle w:val="Compact"/>
      </w:pPr>
      <w:r>
        <w:t xml:space="preserve">How close is the approximation when</w:t>
      </w:r>
      <w:r>
        <w:t xml:space="preserve"> </w:t>
      </w:r>
      <m:oMath>
        <m:r>
          <m:t>n</m:t>
        </m:r>
        <m:r>
          <m:rPr>
            <m:sty m:val="p"/>
          </m:rPr>
          <m:t>=</m:t>
        </m:r>
        <m:r>
          <m:t>10</m:t>
        </m:r>
      </m:oMath>
      <w:r>
        <w:t xml:space="preserve">?</w:t>
      </w:r>
    </w:p>
    <w:p>
      <w:pPr>
        <w:numPr>
          <w:ilvl w:val="0"/>
          <w:numId w:val="1002"/>
        </w:numPr>
        <w:pStyle w:val="Compact"/>
      </w:pPr>
      <w:r>
        <w:t xml:space="preserve">How close is the approximation when</w:t>
      </w:r>
      <w:r>
        <w:t xml:space="preserve"> </w:t>
      </w:r>
      <m:oMath>
        <m:r>
          <m:t>n</m:t>
        </m:r>
        <m:r>
          <m:rPr>
            <m:sty m:val="p"/>
          </m:rPr>
          <m:t>=</m:t>
        </m:r>
        <m:r>
          <m:t>20</m:t>
        </m:r>
      </m:oMath>
      <w:r>
        <w:t xml:space="preserve">?</w:t>
      </w:r>
    </w:p>
    <w:p>
      <w:pPr>
        <w:numPr>
          <w:ilvl w:val="0"/>
          <w:numId w:val="1002"/>
        </w:numPr>
        <w:pStyle w:val="Compact"/>
      </w:pPr>
      <w:r>
        <w:t xml:space="preserve">How close is the approximation when</w:t>
      </w:r>
      <w:r>
        <w:t xml:space="preserve"> </w:t>
      </w:r>
      <m:oMath>
        <m:r>
          <m:t>n</m:t>
        </m:r>
        <m:r>
          <m:rPr>
            <m:sty m:val="p"/>
          </m:rPr>
          <m:t>=</m:t>
        </m:r>
        <m:r>
          <m:t>50</m:t>
        </m:r>
      </m:oMath>
      <w:r>
        <w:t xml:space="preserve">?</w:t>
      </w:r>
    </w:p>
    <w:p>
      <w:pPr>
        <w:numPr>
          <w:ilvl w:val="0"/>
          <w:numId w:val="1002"/>
        </w:numPr>
        <w:pStyle w:val="Compact"/>
      </w:pPr>
      <w:r>
        <w:t xml:space="preserve">What value of</w:t>
      </w:r>
      <w:r>
        <w:t xml:space="preserve"> </w:t>
      </w:r>
      <m:oMath>
        <m:r>
          <m:t>n</m:t>
        </m:r>
      </m:oMath>
      <w:r>
        <w:t xml:space="preserve"> </w:t>
      </w:r>
      <w:r>
        <w:t xml:space="preserve">approximates the value of</w:t>
      </w:r>
      <w:r>
        <w:t xml:space="preserve"> </w:t>
      </w:r>
      <m:oMath>
        <m:r>
          <m:t>π</m:t>
        </m:r>
      </m:oMath>
      <w:r>
        <w:t xml:space="preserve"> </w:t>
      </w:r>
      <w:r>
        <w:t xml:space="preserve">to the thousandths place?</w:t>
      </w:r>
    </w:p>
    <w:bookmarkStart w:id="32" w:name="are-you-ready-for-more"/>
    <w:p>
      <w:pPr>
        <w:pStyle w:val="Heading4"/>
      </w:pPr>
      <w:r>
        <w:t xml:space="preserve">Are you ready for more?</w:t>
      </w:r>
    </w:p>
    <w:p>
      <w:pPr>
        <w:pStyle w:val="FirstParagraph"/>
      </w:pPr>
      <w:r>
        <w:t xml:space="preserve">Describe how to find the area of a regular </w:t>
      </w:r>
      <m:oMath>
        <m:r>
          <m:t>n</m:t>
        </m:r>
      </m:oMath>
      <w:r>
        <w:t xml:space="preserve">-gon with side length</w:t>
      </w:r>
      <w:r>
        <w:t xml:space="preserve"> </w:t>
      </w:r>
      <m:oMath>
        <m:r>
          <m:t>s</m:t>
        </m:r>
      </m:oMath>
      <w:r>
        <w:t xml:space="preserve">. Then write an expression that will give the area.</w:t>
      </w:r>
    </w:p>
    <w:bookmarkEnd w:id="32"/>
    <w:bookmarkEnd w:id="33"/>
    <w:bookmarkStart w:id="40" w:name="lesson-11-summary"/>
    <w:p>
      <w:pPr>
        <w:pStyle w:val="Heading3"/>
      </w:pPr>
      <w:r>
        <w:t xml:space="preserve">Lesson 11 Summary</w:t>
      </w:r>
    </w:p>
    <w:p>
      <w:pPr>
        <w:pStyle w:val="FirstParagraph"/>
      </w:pPr>
      <w:r>
        <w:t xml:space="preserve">It's easier to work with polygons than with circles because we can decompose polygons into simple shapes such as triangles. We can use polygons to figure out things about circles. For example, we know how to calculate the area of regular polygons inscribed in a circle of radius 1.</w:t>
      </w:r>
    </w:p>
    <w:p>
      <w:pPr>
        <w:pStyle w:val="BodyText"/>
      </w:pPr>
      <w:r>
        <w:drawing>
          <wp:inline>
            <wp:extent cx="2971800" cy="2971800"/>
            <wp:effectExtent b="0" l="0" r="0" t="0"/>
            <wp:docPr descr="Pentagon inscribed in circle. 2 segments, length 1, from center to vertices form triangle. Dotted line, h, from center to triangle base forms 2 right triangles. Other right triangle leg is x. Angle between h and 1 is theta." title="" id="35" name="Picture"/>
            <a:graphic>
              <a:graphicData uri="http://schemas.openxmlformats.org/drawingml/2006/picture">
                <pic:pic>
                  <pic:nvPicPr>
                    <pic:cNvPr descr="/app/tmp/embedder-1670997631.896104.png" id="36" name="Picture"/>
                    <pic:cNvPicPr>
                      <a:picLocks noChangeArrowheads="1" noChangeAspect="1"/>
                    </pic:cNvPicPr>
                  </pic:nvPicPr>
                  <pic:blipFill>
                    <a:blip r:embed="rId34"/>
                    <a:stretch>
                      <a:fillRect/>
                    </a:stretch>
                  </pic:blipFill>
                  <pic:spPr bwMode="auto">
                    <a:xfrm>
                      <a:off x="0" y="0"/>
                      <a:ext cx="2971800" cy="2971800"/>
                    </a:xfrm>
                    <a:prstGeom prst="rect">
                      <a:avLst/>
                    </a:prstGeom>
                    <a:noFill/>
                    <a:ln w="9525">
                      <a:noFill/>
                      <a:headEnd/>
                      <a:tailEnd/>
                    </a:ln>
                  </pic:spPr>
                </pic:pic>
              </a:graphicData>
            </a:graphic>
          </wp:inline>
        </w:drawing>
      </w:r>
    </w:p>
    <w:p>
      <w:pPr>
        <w:pStyle w:val="BodyText"/>
      </w:pPr>
      <w:r>
        <w:t xml:space="preserve">To find the area of this regular pentagon, let's find the area of one triangle and then multiply by 5. Drawing in the altitude creates a right triangle, so we can use trigonometry to calculate the lengths of both</w:t>
      </w:r>
      <w:r>
        <w:t xml:space="preserve"> </w:t>
      </w:r>
      <m:oMath>
        <m:r>
          <m:t>x</m:t>
        </m:r>
      </m:oMath>
      <w:r>
        <w:t xml:space="preserve"> </w:t>
      </w:r>
      <w:r>
        <w:t xml:space="preserve">and</w:t>
      </w:r>
      <w:r>
        <w:t xml:space="preserve"> </w:t>
      </w:r>
      <m:oMath>
        <m:r>
          <m:t>h</m:t>
        </m:r>
      </m:oMath>
      <w:r>
        <w:t xml:space="preserve">. To find</w:t>
      </w:r>
      <w:r>
        <w:t xml:space="preserve"> </w:t>
      </w:r>
      <m:oMath>
        <m:r>
          <m:t>θ</m:t>
        </m:r>
      </m:oMath>
      <w:r>
        <w:t xml:space="preserve"> </w:t>
      </w:r>
      <w:r>
        <w:t xml:space="preserve">use the fact that a full rotation is</w:t>
      </w:r>
      <w:r>
        <w:t xml:space="preserve"> </w:t>
      </w:r>
      <m:oMath>
        <m:sSup>
          <m:e>
            <m:r>
              <m:t>360</m:t>
            </m:r>
          </m:e>
          <m:sup>
            <m:r>
              <m:rPr>
                <m:sty m:val="p"/>
              </m:rPr>
              <m:t>∘</m:t>
            </m:r>
          </m:sup>
        </m:sSup>
      </m:oMath>
      <w:r>
        <w:t xml:space="preserve"> </w:t>
      </w:r>
      <w:r>
        <w:t xml:space="preserve">and that in an isosceles triangle the altitude is also an angle bisector. So</w:t>
      </w:r>
      <w:r>
        <w:t xml:space="preserve"> </w:t>
      </w:r>
      <m:oMath>
        <m:r>
          <m:t>θ</m:t>
        </m:r>
        <m:r>
          <m:rPr>
            <m:sty m:val="p"/>
          </m:rPr>
          <m:t>=</m:t>
        </m:r>
        <m:r>
          <m:t>360</m:t>
        </m:r>
        <m:r>
          <m:rPr>
            <m:sty m:val="p"/>
          </m:rPr>
          <m:t>÷</m:t>
        </m:r>
        <m:r>
          <m:t>10</m:t>
        </m:r>
      </m:oMath>
      <w:r>
        <w:t xml:space="preserve">.</w:t>
      </w:r>
      <w:r>
        <w:t xml:space="preserve"> </w:t>
      </w:r>
      <m:oMath>
        <m:r>
          <m:rPr>
            <m:sty m:val="p"/>
          </m:rPr>
          <m:t>sin</m:t>
        </m:r>
        <m:d>
          <m:dPr>
            <m:begChr m:val="("/>
            <m:endChr m:val=")"/>
            <m:sepChr m:val=""/>
            <m:grow/>
          </m:dPr>
          <m:e>
            <m:r>
              <m:t>36</m:t>
            </m:r>
          </m:e>
        </m:d>
        <m:r>
          <m:rPr>
            <m:sty m:val="p"/>
          </m:rPr>
          <m:t>=</m:t>
        </m:r>
        <m:f>
          <m:fPr>
            <m:type m:val="bar"/>
          </m:fPr>
          <m:num>
            <m:r>
              <m:t>x</m:t>
            </m:r>
          </m:num>
          <m:den>
            <m:r>
              <m:t>1</m:t>
            </m:r>
          </m:den>
        </m:f>
      </m:oMath>
      <w:r>
        <w:t xml:space="preserve"> </w:t>
      </w:r>
      <w:r>
        <w:t xml:space="preserve">so</w:t>
      </w:r>
      <w:r>
        <w:t xml:space="preserve"> </w:t>
      </w:r>
      <m:oMath>
        <m:r>
          <m:t>x</m:t>
        </m:r>
      </m:oMath>
      <w:r>
        <w:t xml:space="preserve"> is about 0.59 units.</w:t>
      </w:r>
      <w:r>
        <w:t xml:space="preserve"> </w:t>
      </w:r>
      <m:oMath>
        <m:r>
          <m:rPr>
            <m:sty m:val="p"/>
          </m:rPr>
          <m:t>cos</m:t>
        </m:r>
        <m:d>
          <m:dPr>
            <m:begChr m:val="("/>
            <m:endChr m:val=")"/>
            <m:sepChr m:val=""/>
            <m:grow/>
          </m:dPr>
          <m:e>
            <m:r>
              <m:t>36</m:t>
            </m:r>
          </m:e>
        </m:d>
        <m:r>
          <m:rPr>
            <m:sty m:val="p"/>
          </m:rPr>
          <m:t>=</m:t>
        </m:r>
        <m:f>
          <m:fPr>
            <m:type m:val="bar"/>
          </m:fPr>
          <m:num>
            <m:r>
              <m:t>h</m:t>
            </m:r>
          </m:num>
          <m:den>
            <m:r>
              <m:t>1</m:t>
            </m:r>
          </m:den>
        </m:f>
      </m:oMath>
      <w:r>
        <w:t xml:space="preserve"> </w:t>
      </w:r>
      <w:r>
        <w:t xml:space="preserve">so</w:t>
      </w:r>
      <w:r>
        <w:t xml:space="preserve"> </w:t>
      </w:r>
      <m:oMath>
        <m:r>
          <m:t>h</m:t>
        </m:r>
      </m:oMath>
      <w:r>
        <w:t xml:space="preserve"> is about 0.81 units. The area of the isosceles triangle is about 0.48 square units and the area of the pentagon is 5 times that, or about 2.4 square units.</w:t>
      </w:r>
    </w:p>
    <w:p>
      <w:pPr>
        <w:pStyle w:val="BodyText"/>
      </w:pPr>
      <w:r>
        <w:t xml:space="preserve">That's not very close to the area of the circle, but if we add more and more sides to the regular polygon, its area gets closer and closer to covering the entire circle.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2022-12-14T06:00:32Z</dcterms:created>
  <dcterms:modified xsi:type="dcterms:W3CDTF">2022-12-14T06:00:32Z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hplqkyYtaFczHtdPSL5Dnso9K8fIjFwvfGDkgYifTJ2inS/KSqWQCvb6dFEZ2m/289VSQdwGATT56gHx/JBPwA==</vt:lpwstr>
  </property>
</Properties>
</file>