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8.png" ContentType="image/png"/>
  <Override PartName="/word/media/rId21.jpg" ContentType="image/jpe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X20377ff8e955a6d0052f2d7d0c4a793a87431c0"/>
    <w:p>
      <w:pPr>
        <w:pStyle w:val="Heading2"/>
      </w:pPr>
      <w:r>
        <w:t xml:space="preserve">Unit 4 Lesson 15: Find Missing Side Lengths</w:t>
      </w:r>
    </w:p>
    <w:bookmarkEnd w:id="20"/>
    <w:bookmarkStart w:id="25" w:name="Xbd9065d6dac1546a5ea5d51b4a903374b11c4e1"/>
    <w:p>
      <w:pPr>
        <w:pStyle w:val="Heading3"/>
      </w:pPr>
      <w:r>
        <w:t xml:space="preserve">WU Estimation Exploration: The Garden (Warm up)</w:t>
      </w:r>
    </w:p>
    <w:bookmarkStart w:id="24" w:name="student-task-statement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What is the area of one of the large rectangles in the garden?</w:t>
      </w:r>
    </w:p>
    <w:p>
      <w:pPr>
        <w:pStyle w:val="BodyText"/>
      </w:pPr>
      <w:r>
        <w:drawing>
          <wp:inline>
            <wp:extent cx="5943600" cy="8876168"/>
            <wp:effectExtent b="0" l="0" r="0" t="0"/>
            <wp:docPr descr="picture of a garden with large rectangular lawns" title="" id="22" name="Picture"/>
            <a:graphic>
              <a:graphicData uri="http://schemas.openxmlformats.org/drawingml/2006/picture">
                <pic:pic>
                  <pic:nvPicPr>
                    <pic:cNvPr descr="/app/tmp/embedder-1671027961.4991405.jpg" id="23" name="Picture"/>
                    <pic:cNvPicPr>
                      <a:picLocks noChangeArrowheads="1"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8876168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Record an estimate that is: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2640"/>
        <w:gridCol w:w="2640"/>
        <w:gridCol w:w="2640"/>
      </w:tblGrid>
      <w:tr>
        <w:tc>
          <w:tcPr/>
          <w:p>
            <w:pPr>
              <w:pStyle w:val="Compact"/>
              <w:jc w:val="center"/>
            </w:pPr>
            <w:r>
              <w:t xml:space="preserve">too low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about right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too high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  <w:tc>
          <w:tcPr/>
          <w:p>
            <w:pPr>
              <w:pStyle w:val="Compact"/>
              <w:jc w:val="center"/>
            </w:pPr>
            <m:oMath>
              <m:phant>
                <m:phantPr>
                  <m:show m:val="0"/>
                </m:phantPr>
                <m:e>
                  <m:r>
                    <m:t> </m:t>
                  </m:r>
                  <m:r>
                    <m:t> </m:t>
                  </m:r>
                </m:e>
              </m:phant>
            </m:oMath>
          </w:p>
        </w:tc>
      </w:tr>
    </w:tbl>
    <w:bookmarkEnd w:id="24"/>
    <w:bookmarkEnd w:id="25"/>
    <w:bookmarkStart w:id="27" w:name="find-the-missing-side-length-part-1"/>
    <w:p>
      <w:pPr>
        <w:pStyle w:val="Heading3"/>
      </w:pPr>
      <w:r>
        <w:t xml:space="preserve">1 Find the Missing Side Length, Part 1</w:t>
      </w:r>
    </w:p>
    <w:bookmarkStart w:id="26" w:name="student-task-statement-1"/>
    <w:p>
      <w:pPr>
        <w:pStyle w:val="Heading4"/>
      </w:pPr>
      <w:r>
        <w:t xml:space="preserve">Student Task Statement</w:t>
      </w:r>
    </w:p>
    <w:p>
      <w:pPr>
        <w:pStyle w:val="FirstParagraph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center"/>
            </w:pPr>
            <w:r>
              <w:t xml:space="preserve">area</w:t>
            </w:r>
            <w:r>
              <w:br/>
            </w:r>
            <w:r>
              <w:t xml:space="preserve">(square feet)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816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24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1,248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48</w:t>
            </w:r>
          </w:p>
        </w:tc>
      </w:tr>
      <w:tr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23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253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5,796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  <w:jc w:val="center"/>
            </w:pPr>
            <w:r>
              <w:t xml:space="preserve">36</w:t>
            </w:r>
          </w:p>
        </w:tc>
      </w:tr>
    </w:tbl>
    <w:bookmarkEnd w:id="26"/>
    <w:bookmarkEnd w:id="27"/>
    <w:bookmarkStart w:id="32" w:name="find-the-missing-side-length-part-2"/>
    <w:p>
      <w:pPr>
        <w:pStyle w:val="Heading3"/>
      </w:pPr>
      <w:r>
        <w:t xml:space="preserve">2 Find the Missing Side Length, Part 2</w:t>
      </w:r>
    </w:p>
    <w:bookmarkStart w:id="31" w:name="student-task-statement-2"/>
    <w:p>
      <w:pPr>
        <w:pStyle w:val="Heading4"/>
      </w:pPr>
      <w:r>
        <w:t xml:space="preserve">Student Task Statement</w:t>
      </w:r>
    </w:p>
    <w:p>
      <w:pPr>
        <w:numPr>
          <w:ilvl w:val="0"/>
          <w:numId w:val="1001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base</w:t>
            </w:r>
            <w:r>
              <w:br/>
            </w:r>
            <w:r>
              <w:t xml:space="preserve">(square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375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15</w:t>
            </w:r>
          </w:p>
        </w:tc>
        <w:tc>
          <w:tcPr/>
          <w:p>
            <w:pPr>
              <w:pStyle w:val="Compact"/>
            </w:pP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1,176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28</w:t>
            </w:r>
          </w:p>
        </w:tc>
      </w:tr>
    </w:tbl>
    <w:p>
      <w:pPr>
        <w:numPr>
          <w:ilvl w:val="0"/>
          <w:numId w:val="1001"/>
        </w:numPr>
        <w:pStyle w:val="Compact"/>
      </w:pPr>
      <w:r>
        <w:t xml:space="preserve">Clare wants to find the height of a rectangular prism with the following measurements: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882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7</w:t>
            </w:r>
          </w:p>
        </w:tc>
        <w:tc>
          <w:tcPr/>
          <w:p>
            <w:pPr>
              <w:pStyle w:val="Compact"/>
            </w:pPr>
          </w:p>
        </w:tc>
      </w:tr>
    </w:tbl>
    <w:p>
      <w:pPr>
        <w:numPr>
          <w:ilvl w:val="1"/>
          <w:numId w:val="1002"/>
        </w:numPr>
        <w:pStyle w:val="Compact"/>
      </w:pPr>
      <w:r>
        <w:t xml:space="preserve">First, Clare finds the quotient </w:t>
      </w:r>
      <m:oMath>
        <m:r>
          <m:t>882</m:t>
        </m:r>
        <m:r>
          <m:rPr>
            <m:sty m:val="p"/>
          </m:rPr>
          <m:t>÷</m:t>
        </m:r>
        <m:r>
          <m:t>6</m:t>
        </m:r>
      </m:oMath>
      <w:r>
        <w:t xml:space="preserve">. What could she do next to find the height?</w:t>
      </w:r>
    </w:p>
    <w:p>
      <w:pPr>
        <w:numPr>
          <w:ilvl w:val="1"/>
          <w:numId w:val="1002"/>
        </w:numPr>
        <w:pStyle w:val="Compact"/>
      </w:pPr>
      <w:r>
        <w:t xml:space="preserve">Find the missing height to finish the problem for Clare.</w:t>
      </w:r>
    </w:p>
    <w:p>
      <w:pPr>
        <w:numPr>
          <w:ilvl w:val="0"/>
          <w:numId w:val="1001"/>
        </w:numPr>
        <w:pStyle w:val="Compact"/>
      </w:pPr>
      <w:r>
        <w:t xml:space="preserve">Complete the table.</w:t>
      </w:r>
    </w:p>
    <w:tbl>
      <w:tblPr>
        <w:tblStyle w:val="Table"/>
        <w:tblW w:type="pct" w:w="5000"/>
        <w:tblLook w:firstRow="1" w:lastRow="0" w:firstColumn="0" w:lastColumn="0" w:noHBand="0" w:noVBand="0" w:val="0020"/>
      </w:tblPr>
      <w:tblGrid>
        <w:gridCol w:w="1980"/>
        <w:gridCol w:w="1980"/>
        <w:gridCol w:w="1980"/>
        <w:gridCol w:w="1980"/>
      </w:tblGrid>
      <w:tr>
        <w:trPr>
          <w:tblHeader w:val="true"/>
        </w:trP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volume</w:t>
            </w:r>
            <w:r>
              <w:br/>
            </w:r>
            <w:r>
              <w:t xml:space="preserve">(cubic 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length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width</w:t>
            </w:r>
            <w:r>
              <w:br/>
            </w:r>
            <w:r>
              <w:t xml:space="preserve">(feet)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height</w:t>
            </w:r>
            <w:r>
              <w:br/>
            </w:r>
            <w:r>
              <w:t xml:space="preserve">(feet)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936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8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9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1,536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48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2</w:t>
            </w:r>
          </w:p>
        </w:tc>
      </w:tr>
      <w:tr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1,008</w:t>
            </w:r>
          </w:p>
        </w:tc>
        <w:tc>
          <w:tcPr/>
          <w:p>
            <w:pPr>
              <w:numPr>
                <w:ilvl w:val="0"/>
                <w:numId w:val="1000"/>
              </w:numPr>
              <w:pStyle w:val="Compact"/>
              <w:jc w:val="center"/>
            </w:pPr>
            <w:r>
              <w:t xml:space="preserve">36</w:t>
            </w:r>
          </w:p>
        </w:tc>
        <w:tc>
          <w:tcPr/>
          <w:p>
            <w:pPr>
              <w:pStyle w:val="Compact"/>
            </w:pPr>
          </w:p>
        </w:tc>
        <w:tc>
          <w:tcPr/>
          <w:p>
            <w:pPr>
              <w:pStyle w:val="Compact"/>
            </w:pPr>
          </w:p>
        </w:tc>
      </w:tr>
    </w:tbl>
    <w:p>
      <w:pPr>
        <w:pStyle w:val="FirstParagraph"/>
      </w:pPr>
      <w:r>
        <w:drawing>
          <wp:inline>
            <wp:extent cx="762000" cy="266700"/>
            <wp:effectExtent b="0" l="0" r="0" t="0"/>
            <wp:docPr descr="" title="" id="29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30" name="Picture"/>
                    <pic:cNvPicPr>
                      <a:picLocks noChangeArrowheads="1"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2021 Illustrative Mathematics®</w:t>
      </w:r>
    </w:p>
    <w:bookmarkEnd w:id="31"/>
    <w:bookmarkEnd w:id="32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8" Target="media/rId28.png" /><Relationship Type="http://schemas.openxmlformats.org/officeDocument/2006/relationships/image" Id="rId21" Target="media/rId21.jp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2022-12-14T14:26:02Z</dcterms:created>
  <dcterms:modified xsi:type="dcterms:W3CDTF">2022-12-14T14:26:02Z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rDWENea895Yy3/ULnlv7vHjP3XPEDjrL5AaapP1OWveIMcFsijQPy/c7VhXPP9fUQSek9dCEZ9BhjH/UiUFZqg==</vt:lpwstr>
  </property>
</Properties>
</file>