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a86d5e177441c9d882c47f944bcd0a227671e3"/>
    <w:p>
      <w:pPr>
        <w:pStyle w:val="Heading2"/>
      </w:pPr>
      <w:r>
        <w:t xml:space="preserve">Lección 3: Los factores son un factor para escoger nuestra estrategia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Razonemos sobre algunas estrategias que usamos para multiplicar.</w:t>
      </w:r>
    </w:p>
    <w:bookmarkStart w:id="21" w:name="Xd1beab2b27f4d932a5d311151e79e4b5826ed3a"/>
    <w:p>
      <w:pPr>
        <w:pStyle w:val="Heading3"/>
      </w:pPr>
      <w:r>
        <w:t xml:space="preserve">Calentamiento: Conversación numérica: Factores que aumentan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232</m:t>
        </m:r>
        <m:r>
          <m:rPr>
            <m:sty m:val="p"/>
          </m:rPr>
          <m:t>×</m:t>
        </m:r>
        <m:r>
          <m:t>15</m:t>
        </m:r>
      </m:oMath>
    </w:p>
    <w:bookmarkEnd w:id="21"/>
    <w:bookmarkStart w:id="22" w:name="Xe350ede1f7b1aa8a88b69054b14f4dcec1bfef0"/>
    <w:p>
      <w:pPr>
        <w:pStyle w:val="Heading3"/>
      </w:pPr>
      <w:r>
        <w:t xml:space="preserve">3.1: Escojamos una estrategia para multiplicar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25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136</m:t>
        </m:r>
      </m:oMath>
    </w:p>
    <w:bookmarkEnd w:id="22"/>
    <w:bookmarkStart w:id="26" w:name="comparemos-estrategias"/>
    <w:p>
      <w:pPr>
        <w:pStyle w:val="Heading3"/>
      </w:pPr>
      <w:r>
        <w:t xml:space="preserve">3.2: Comparemos estrategias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4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45</m:t>
        </m:r>
      </m:oMath>
    </w:p>
    <w:p>
      <w:pPr>
        <w:numPr>
          <w:ilvl w:val="0"/>
          <w:numId w:val="1004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199</m:t>
        </m:r>
      </m:oMath>
    </w:p>
    <w:p>
      <w:pPr>
        <w:numPr>
          <w:ilvl w:val="0"/>
          <w:numId w:val="1004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154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2022-12-15T01:08:56Z</dcterms:created>
  <dcterms:modified xsi:type="dcterms:W3CDTF">2022-12-15T01:08:56Z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abVuZH4aAbtYon3q5dMeEfAXzpefXMjIYUKFYlkpuZVNsSs9EpL55p1G3vS0tzJ5yf+3EYvWldPkyGASLSa6yA==</vt:lpwstr>
  </property>
</Properties>
</file>