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7-día-1-de-centros-optional"/>
    <w:p>
      <w:pPr>
        <w:pStyle w:val="Heading1"/>
      </w:pPr>
      <w:r>
        <w:t xml:space="preserve">Lesson 7: Día 1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2.NBT.A, 2.NBT.A.1.a, 2.NBT.B.5, 2.OA.B.2</w:t>
            </w:r>
          </w:p>
        </w:tc>
      </w:tr>
      <w:tr>
        <w:tc>
          <w:tcPr/>
          <w:p>
            <w:pPr>
              <w:pStyle w:val="Compact"/>
              <w:jc w:val="left"/>
            </w:pPr>
            <w:r>
              <w:t xml:space="preserve">Building Towards</w:t>
            </w:r>
          </w:p>
        </w:tc>
        <w:tc>
          <w:tcPr/>
          <w:p>
            <w:pPr>
              <w:pStyle w:val="Compact"/>
              <w:jc w:val="left"/>
            </w:pPr>
            <w:r>
              <w:t xml:space="preserve">2.NBT.A.4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addition and subtraction within 100.</w:t>
      </w:r>
    </w:p>
    <w:p>
      <w:pPr>
        <w:numPr>
          <w:ilvl w:val="0"/>
          <w:numId w:val="1001"/>
        </w:numPr>
        <w:pStyle w:val="Compact"/>
      </w:pPr>
      <w:r>
        <w:t xml:space="preserve">Use place value to describe and identify a number.</w:t>
      </w:r>
    </w:p>
    <w:bookmarkEnd w:id="24"/>
    <w:bookmarkStart w:id="25" w:name="student-facing-learning-goals"/>
    <w:p>
      <w:pPr>
        <w:pStyle w:val="Heading3"/>
      </w:pPr>
      <w:r>
        <w:t xml:space="preserve">Student-facing Learning Goals</w:t>
      </w:r>
    </w:p>
    <w:p>
      <w:pPr>
        <w:numPr>
          <w:ilvl w:val="0"/>
          <w:numId w:val="1002"/>
        </w:numPr>
        <w:pStyle w:val="Compact"/>
      </w:pPr>
      <w:r>
        <w:t xml:space="preserve">Usemos el valor posicional para identificar números y practiquemos la suma y la resta.</w:t>
      </w:r>
    </w:p>
    <w:bookmarkEnd w:id="25"/>
    <w:bookmarkStart w:id="26" w:name="lesson-purpose"/>
    <w:p>
      <w:pPr>
        <w:pStyle w:val="Heading3"/>
      </w:pPr>
      <w:r>
        <w:t xml:space="preserve">Lesson Purpose</w:t>
      </w:r>
    </w:p>
    <w:p>
      <w:pPr>
        <w:pStyle w:val="FirstParagraph"/>
      </w:pPr>
      <w:r>
        <w:t xml:space="preserve">The purpose of this lesson is for students to work with place value and practice addition and subtraction within 100.</w:t>
      </w:r>
    </w:p>
    <w:p>
      <w:pPr>
        <w:pStyle w:val="BodyText"/>
      </w:pPr>
      <w:r>
        <w:t xml:space="preserve">This lesson is optional because it is an opportunity for extra practice that not all classes may need. In Activity 1, students learn stage 2 of the Mystery Number center, which was first introduced in grade 1. In this new stage, called Three-digit Numbers, they use clues based on place value to identify the number being described. In Activity 2, students choose to continue working on Mystery Number, or choose between two previously introduced centers focused on addition and subtraction.</w:t>
      </w:r>
    </w:p>
    <w:bookmarkEnd w:id="26"/>
    <w:bookmarkStart w:id="27" w:name="instructional-routines"/>
    <w:p>
      <w:pPr>
        <w:pStyle w:val="Heading3"/>
      </w:pPr>
      <w:r>
        <w:t xml:space="preserve">Instructional Routines</w:t>
      </w:r>
    </w:p>
    <w:p>
      <w:pPr>
        <w:pStyle w:val="FirstParagraph"/>
      </w:pPr>
      <w:r>
        <w:t xml:space="preserve">True or False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Number cards 0–10: Activity 1</w:t>
      </w:r>
    </w:p>
    <w:bookmarkEnd w:id="28"/>
    <w:bookmarkStart w:id="29" w:name="materials-to-copy"/>
    <w:p>
      <w:pPr>
        <w:pStyle w:val="Heading3"/>
      </w:pPr>
      <w:r>
        <w:t xml:space="preserve">Materials to Copy</w:t>
      </w:r>
    </w:p>
    <w:p>
      <w:pPr>
        <w:numPr>
          <w:ilvl w:val="0"/>
          <w:numId w:val="1004"/>
        </w:numPr>
        <w:pStyle w:val="Compact"/>
      </w:pPr>
      <w:r>
        <w:t xml:space="preserve">Mystery Number Stage 2 Directions, Spanish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2022-12-14T23:45:54Z</dcterms:created>
  <dcterms:modified xsi:type="dcterms:W3CDTF">2022-12-14T23:45:54Z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VznQGjRqIzHzYrvcj25lynWX7KfOl3NcjUR7e0ok8F5zPZVDWOLbbDaGGMLeCkmiTH+VIdodLkcIzp4LPivzAw==</vt:lpwstr>
  </property>
</Properties>
</file>