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63a379665ec92ea37504ba86a756d105abd305"/>
    <w:p>
      <w:pPr>
        <w:pStyle w:val="Heading2"/>
      </w:pPr>
      <w:r>
        <w:t xml:space="preserve">Unit 1 Lesson 7: Representing More Sequences</w:t>
      </w:r>
    </w:p>
    <w:bookmarkEnd w:id="20"/>
    <w:bookmarkStart w:id="22" w:name="X2ba03137633c964a9f0328b448de7af577d72e1"/>
    <w:p>
      <w:pPr>
        <w:pStyle w:val="Heading3"/>
      </w:pPr>
      <w:r>
        <w:t xml:space="preserve">1 Which One Doesn’t Belong: Recursive Definitions (Warm up)</w:t>
      </w:r>
    </w:p>
    <w:bookmarkStart w:id="21" w:name="student-task-statement"/>
    <w:p>
      <w:pPr>
        <w:pStyle w:val="Heading4"/>
      </w:pPr>
      <w:r>
        <w:t xml:space="preserve">Student Task Statement</w:t>
      </w:r>
    </w:p>
    <w:p>
      <w:pPr>
        <w:pStyle w:val="FirstParagraph"/>
      </w:pPr>
      <w:r>
        <w:t xml:space="preserve">Which one doesn’t belong?</w:t>
      </w:r>
    </w:p>
    <w:p>
      <w:pPr>
        <w:pStyle w:val="BodyText"/>
      </w:pPr>
      <w:r>
        <w:t xml:space="preserve">A.</w:t>
      </w:r>
      <w:r>
        <w:t xml:space="preserve"> </w:t>
      </w:r>
      <m:oMath>
        <m:r>
          <m:t>f</m:t>
        </m:r>
        <m:d>
          <m:dPr>
            <m:begChr m:val="("/>
            <m:endChr m:val=")"/>
            <m:sepChr m:val=""/>
            <m:grow/>
          </m:dPr>
          <m:e>
            <m:r>
              <m:t>1</m:t>
            </m:r>
          </m:e>
        </m:d>
        <m:r>
          <m:rPr>
            <m:sty m:val="p"/>
          </m:rPr>
          <m:t>=</m:t>
        </m:r>
        <m:r>
          <m:t>6</m:t>
        </m:r>
      </m:oMath>
    </w:p>
    <w:p>
      <w:pPr>
        <w:pStyle w:val="BodyText"/>
      </w:pPr>
      <m:oMath>
        <m:r>
          <m:t>f</m:t>
        </m:r>
        <m:d>
          <m:dPr>
            <m:begChr m:val="("/>
            <m:endChr m:val=")"/>
            <m:sepChr m:val=""/>
            <m:grow/>
          </m:dPr>
          <m:e>
            <m:r>
              <m:t>n</m:t>
            </m:r>
          </m:e>
        </m:d>
        <m:r>
          <m:rPr>
            <m:sty m:val="p"/>
          </m:rPr>
          <m:t>=</m:t>
        </m:r>
        <m:r>
          <m:t>f</m:t>
        </m:r>
        <m:d>
          <m:dPr>
            <m:begChr m:val="("/>
            <m:endChr m:val=")"/>
            <m:sepChr m:val=""/>
            <m:grow/>
          </m:dPr>
          <m:e>
            <m:r>
              <m:t>n</m:t>
            </m:r>
            <m:r>
              <m:rPr>
                <m:sty m:val="p"/>
              </m:rPr>
              <m:t>−</m:t>
            </m:r>
            <m:r>
              <m:t>1</m:t>
            </m:r>
          </m:e>
        </m:d>
        <m:r>
          <m:rPr>
            <m:sty m:val="p"/>
          </m:rPr>
          <m:t>−</m:t>
        </m:r>
        <m:r>
          <m:t>5</m:t>
        </m:r>
      </m:oMath>
      <w:r>
        <w:t xml:space="preserve"> </w:t>
      </w:r>
      <w:r>
        <w:t xml:space="preserve">for</w:t>
      </w:r>
      <w:r>
        <w:t xml:space="preserve"> </w:t>
      </w:r>
      <m:oMath>
        <m:r>
          <m:t>n</m:t>
        </m:r>
        <m:r>
          <m:rPr>
            <m:sty m:val="p"/>
          </m:rPr>
          <m:t>≥</m:t>
        </m:r>
        <m:r>
          <m:t>2</m:t>
        </m:r>
      </m:oMath>
    </w:p>
    <w:p>
      <w:pPr>
        <w:pStyle w:val="BodyText"/>
      </w:pPr>
      <w:r>
        <w:t xml:space="preserve">B.</w:t>
      </w:r>
      <w:r>
        <w:t xml:space="preserve"> </w:t>
      </w:r>
      <m:oMath>
        <m:r>
          <m:t>f</m:t>
        </m:r>
        <m:d>
          <m:dPr>
            <m:begChr m:val="("/>
            <m:endChr m:val=")"/>
            <m:sepChr m:val=""/>
            <m:grow/>
          </m:dPr>
          <m:e>
            <m:r>
              <m:t>1</m:t>
            </m:r>
          </m:e>
        </m:d>
        <m:r>
          <m:rPr>
            <m:sty m:val="p"/>
          </m:rPr>
          <m:t>=</m:t>
        </m:r>
        <m:r>
          <m:t>6</m:t>
        </m:r>
      </m:oMath>
    </w:p>
    <w:p>
      <w:pPr>
        <w:pStyle w:val="BodyText"/>
      </w:pPr>
      <m:oMath>
        <m:r>
          <m:t>f</m:t>
        </m:r>
        <m:d>
          <m:dPr>
            <m:begChr m:val="("/>
            <m:endChr m:val=")"/>
            <m:sepChr m:val=""/>
            <m:grow/>
          </m:dPr>
          <m:e>
            <m:r>
              <m:t>n</m:t>
            </m:r>
          </m:e>
        </m:d>
        <m:r>
          <m:rPr>
            <m:sty m:val="p"/>
          </m:rPr>
          <m:t>=</m:t>
        </m:r>
        <m:f>
          <m:fPr>
            <m:type m:val="bar"/>
          </m:fPr>
          <m:num>
            <m:r>
              <m:t>1</m:t>
            </m:r>
          </m:num>
          <m:den>
            <m:r>
              <m:t>2</m:t>
            </m:r>
          </m:den>
        </m:f>
        <m:r>
          <m:rPr>
            <m:sty m:val="p"/>
          </m:rPr>
          <m:t>⋅</m:t>
        </m:r>
        <m:r>
          <m:t>f</m:t>
        </m:r>
        <m:d>
          <m:dPr>
            <m:begChr m:val="("/>
            <m:endChr m:val=")"/>
            <m:sepChr m:val=""/>
            <m:grow/>
          </m:dPr>
          <m:e>
            <m:r>
              <m:t>n</m:t>
            </m:r>
            <m:r>
              <m:rPr>
                <m:sty m:val="p"/>
              </m:rPr>
              <m:t>−</m:t>
            </m:r>
            <m:r>
              <m:t>1</m:t>
            </m:r>
          </m:e>
        </m:d>
      </m:oMath>
      <w:r>
        <w:t xml:space="preserve"> </w:t>
      </w:r>
      <w:r>
        <w:t xml:space="preserve">for</w:t>
      </w:r>
      <w:r>
        <w:t xml:space="preserve"> </w:t>
      </w:r>
      <m:oMath>
        <m:r>
          <m:t>n</m:t>
        </m:r>
        <m:r>
          <m:rPr>
            <m:sty m:val="p"/>
          </m:rPr>
          <m:t>≥</m:t>
        </m:r>
        <m:r>
          <m:t>2</m:t>
        </m:r>
      </m:oMath>
    </w:p>
    <w:p>
      <w:pPr>
        <w:pStyle w:val="BodyText"/>
      </w:pPr>
      <w:r>
        <w:t xml:space="preserve">C.</w:t>
      </w:r>
      <w:r>
        <w:t xml:space="preserve"> </w:t>
      </w:r>
      <m:oMath>
        <m:r>
          <m:t>f</m:t>
        </m:r>
        <m:d>
          <m:dPr>
            <m:begChr m:val="("/>
            <m:endChr m:val=")"/>
            <m:sepChr m:val=""/>
            <m:grow/>
          </m:dPr>
          <m:e>
            <m:r>
              <m:t>0</m:t>
            </m:r>
          </m:e>
        </m:d>
        <m:r>
          <m:rPr>
            <m:sty m:val="p"/>
          </m:rPr>
          <m:t>=</m:t>
        </m:r>
        <m:r>
          <m:t>6</m:t>
        </m:r>
      </m:oMath>
    </w:p>
    <w:p>
      <w:pPr>
        <w:pStyle w:val="BodyText"/>
      </w:pPr>
      <m:oMath>
        <m:r>
          <m:t>f</m:t>
        </m:r>
        <m:d>
          <m:dPr>
            <m:begChr m:val="("/>
            <m:endChr m:val=")"/>
            <m:sepChr m:val=""/>
            <m:grow/>
          </m:dPr>
          <m:e>
            <m:r>
              <m:t>n</m:t>
            </m:r>
          </m:e>
        </m:d>
        <m:r>
          <m:rPr>
            <m:sty m:val="p"/>
          </m:rPr>
          <m:t>=</m:t>
        </m:r>
        <m:r>
          <m:t>10</m:t>
        </m:r>
        <m:r>
          <m:rPr>
            <m:sty m:val="p"/>
          </m:rPr>
          <m:t>⋅</m:t>
        </m:r>
        <m:r>
          <m:t>f</m:t>
        </m:r>
        <m:d>
          <m:dPr>
            <m:begChr m:val="("/>
            <m:endChr m:val=")"/>
            <m:sepChr m:val=""/>
            <m:grow/>
          </m:dPr>
          <m:e>
            <m:r>
              <m:t>n</m:t>
            </m:r>
            <m:r>
              <m:rPr>
                <m:sty m:val="p"/>
              </m:rPr>
              <m:t>−</m:t>
            </m:r>
            <m:r>
              <m:t>1</m:t>
            </m:r>
          </m:e>
        </m:d>
      </m:oMath>
      <w:r>
        <w:t xml:space="preserve"> </w:t>
      </w:r>
      <w:r>
        <w:t xml:space="preserve">for</w:t>
      </w:r>
      <w:r>
        <w:t xml:space="preserve"> </w:t>
      </w:r>
      <m:oMath>
        <m:r>
          <m:t>n</m:t>
        </m:r>
        <m:r>
          <m:rPr>
            <m:sty m:val="p"/>
          </m:rPr>
          <m:t>≥</m:t>
        </m:r>
        <m:r>
          <m:t>1</m:t>
        </m:r>
      </m:oMath>
    </w:p>
    <w:p>
      <w:pPr>
        <w:pStyle w:val="BodyText"/>
      </w:pPr>
      <w:r>
        <w:t xml:space="preserve">D.</w:t>
      </w:r>
      <w:r>
        <w:t xml:space="preserve"> </w:t>
      </w:r>
      <m:oMath>
        <m:r>
          <m:t>f</m:t>
        </m:r>
        <m:d>
          <m:dPr>
            <m:begChr m:val="("/>
            <m:endChr m:val=")"/>
            <m:sepChr m:val=""/>
            <m:grow/>
          </m:dPr>
          <m:e>
            <m:r>
              <m:t>1</m:t>
            </m:r>
          </m:e>
        </m:d>
        <m:r>
          <m:rPr>
            <m:sty m:val="p"/>
          </m:rPr>
          <m:t>=</m:t>
        </m:r>
        <m:r>
          <m:t>6</m:t>
        </m:r>
      </m:oMath>
    </w:p>
    <w:p>
      <w:pPr>
        <w:pStyle w:val="BodyText"/>
      </w:pPr>
      <m:oMath>
        <m:r>
          <m:t>f</m:t>
        </m:r>
        <m:d>
          <m:dPr>
            <m:begChr m:val="("/>
            <m:endChr m:val=")"/>
            <m:sepChr m:val=""/>
            <m:grow/>
          </m:dPr>
          <m:e>
            <m:r>
              <m:t>n</m:t>
            </m:r>
          </m:e>
        </m:d>
        <m:r>
          <m:rPr>
            <m:sty m:val="p"/>
          </m:rPr>
          <m:t>=</m:t>
        </m:r>
        <m:r>
          <m:t>f</m:t>
        </m:r>
        <m:d>
          <m:dPr>
            <m:begChr m:val="("/>
            <m:endChr m:val=")"/>
            <m:sepChr m:val=""/>
            <m:grow/>
          </m:dPr>
          <m:e>
            <m:r>
              <m:t>n</m:t>
            </m:r>
            <m:r>
              <m:rPr>
                <m:sty m:val="p"/>
              </m:rPr>
              <m:t>−</m:t>
            </m:r>
            <m:r>
              <m:t>1</m:t>
            </m:r>
          </m:e>
        </m:d>
        <m:r>
          <m:rPr>
            <m:sty m:val="p"/>
          </m:rPr>
          <m:t>+</m:t>
        </m:r>
        <m:sSup>
          <m:e>
            <m:r>
              <m:t>n</m:t>
            </m:r>
          </m:e>
          <m:sup>
            <m:r>
              <m:t>2</m:t>
            </m:r>
          </m:sup>
        </m:sSup>
      </m:oMath>
      <w:r>
        <w:t xml:space="preserve"> </w:t>
      </w:r>
      <w:r>
        <w:t xml:space="preserve">for</w:t>
      </w:r>
      <w:r>
        <w:t xml:space="preserve"> </w:t>
      </w:r>
      <m:oMath>
        <m:r>
          <m:t>n</m:t>
        </m:r>
        <m:r>
          <m:rPr>
            <m:sty m:val="p"/>
          </m:rPr>
          <m:t>≥</m:t>
        </m:r>
        <m:r>
          <m:t>2</m:t>
        </m:r>
      </m:oMath>
    </w:p>
    <w:bookmarkEnd w:id="21"/>
    <w:bookmarkEnd w:id="22"/>
    <w:bookmarkStart w:id="31" w:name="info-gap-ways-to-represent-a-sequence"/>
    <w:p>
      <w:pPr>
        <w:pStyle w:val="Heading3"/>
      </w:pPr>
      <w:r>
        <w:t xml:space="preserve">2 Info Gap: Ways To Represent A Sequence</w:t>
      </w:r>
    </w:p>
    <w:bookmarkStart w:id="26" w:name="images-for-launch"/>
    <w:p>
      <w:pPr>
        <w:pStyle w:val="Heading4"/>
      </w:pPr>
      <w:r>
        <w:t xml:space="preserve">Images for Launch</w:t>
      </w:r>
    </w:p>
    <w:p>
      <w:pPr>
        <w:pStyle w:val="FirstParagraph"/>
      </w:pPr>
      <w:r>
        <w:drawing>
          <wp:inline>
            <wp:extent cx="5943600" cy="4775909"/>
            <wp:effectExtent b="0" l="0" r="0" t="0"/>
            <wp:docPr descr="Diagram. information gap procedure. Problem Card Student. Data card student." title="" id="24" name="Picture"/>
            <a:graphic>
              <a:graphicData uri="http://schemas.openxmlformats.org/drawingml/2006/picture">
                <pic:pic>
                  <pic:nvPicPr>
                    <pic:cNvPr descr="/app/tmp/embedder-1671001340.4090972.png" id="25" name="Picture"/>
                    <pic:cNvPicPr>
                      <a:picLocks noChangeArrowheads="1" noChangeAspect="1"/>
                    </pic:cNvPicPr>
                  </pic:nvPicPr>
                  <pic:blipFill>
                    <a:blip r:embed="rId23"/>
                    <a:stretch>
                      <a:fillRect/>
                    </a:stretch>
                  </pic:blipFill>
                  <pic:spPr bwMode="auto">
                    <a:xfrm>
                      <a:off x="0" y="0"/>
                      <a:ext cx="5943600" cy="4775909"/>
                    </a:xfrm>
                    <a:prstGeom prst="rect">
                      <a:avLst/>
                    </a:prstGeom>
                    <a:noFill/>
                    <a:ln w="9525">
                      <a:noFill/>
                      <a:headEnd/>
                      <a:tailEnd/>
                    </a:ln>
                  </pic:spPr>
                </pic:pic>
              </a:graphicData>
            </a:graphic>
          </wp:inline>
        </w:drawing>
      </w:r>
    </w:p>
    <w:bookmarkEnd w:id="26"/>
    <w:bookmarkStart w:id="30" w:name="student-task-statement-1"/>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1"/>
        </w:numPr>
        <w:pStyle w:val="Compact"/>
      </w:pPr>
      <w:r>
        <w:t xml:space="preserve">Silently read the information on your card.</w:t>
      </w:r>
    </w:p>
    <w:p>
      <w:pPr>
        <w:numPr>
          <w:ilvl w:val="0"/>
          <w:numId w:val="1001"/>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1"/>
        </w:numPr>
        <w:pStyle w:val="Compact"/>
      </w:pPr>
      <w:r>
        <w:t xml:space="preserve">Before telling your partner the information, ask “Why do you need to know (that piece of information)?”</w:t>
      </w:r>
    </w:p>
    <w:p>
      <w:pPr>
        <w:numPr>
          <w:ilvl w:val="0"/>
          <w:numId w:val="1001"/>
        </w:numPr>
        <w:pStyle w:val="Compact"/>
      </w:pPr>
      <w:r>
        <w:t xml:space="preserve">Read the problem card, and solve the problem independently.</w:t>
      </w:r>
    </w:p>
    <w:p>
      <w:pPr>
        <w:numPr>
          <w:ilvl w:val="0"/>
          <w:numId w:val="1001"/>
        </w:numPr>
        <w:pStyle w:val="Compact"/>
      </w:pPr>
      <w:r>
        <w:t xml:space="preserve">Share the data card, and discuss your reasoning.</w:t>
      </w:r>
    </w:p>
    <w:p>
      <w:pPr>
        <w:pStyle w:val="FirstParagraph"/>
      </w:pPr>
      <w:r>
        <w:t xml:space="preserve">If your teacher gives you the problem card:</w:t>
      </w:r>
    </w:p>
    <w:p>
      <w:pPr>
        <w:numPr>
          <w:ilvl w:val="0"/>
          <w:numId w:val="1002"/>
        </w:numPr>
        <w:pStyle w:val="Compact"/>
      </w:pPr>
      <w:r>
        <w:t xml:space="preserve">Silently read your card and think about what information you need to answer the question.</w:t>
      </w:r>
    </w:p>
    <w:p>
      <w:pPr>
        <w:numPr>
          <w:ilvl w:val="0"/>
          <w:numId w:val="1002"/>
        </w:numPr>
        <w:pStyle w:val="Compact"/>
      </w:pPr>
      <w:r>
        <w:t xml:space="preserve">Ask your partner for the specific information that you need.</w:t>
      </w:r>
    </w:p>
    <w:p>
      <w:pPr>
        <w:numPr>
          <w:ilvl w:val="0"/>
          <w:numId w:val="1002"/>
        </w:numPr>
        <w:pStyle w:val="Compact"/>
      </w:pPr>
      <w:r>
        <w:t xml:space="preserve">Explain to your partner how you are using the information to solve the problem.</w:t>
      </w:r>
    </w:p>
    <w:p>
      <w:pPr>
        <w:numPr>
          <w:ilvl w:val="0"/>
          <w:numId w:val="1002"/>
        </w:numPr>
        <w:pStyle w:val="Compact"/>
      </w:pPr>
      <w:r>
        <w:t xml:space="preserve">When you have enough information, share the problem card with your partner, and solve the problem independently.</w:t>
      </w:r>
    </w:p>
    <w:p>
      <w:pPr>
        <w:numPr>
          <w:ilvl w:val="0"/>
          <w:numId w:val="1002"/>
        </w:numPr>
        <w:pStyle w:val="Compact"/>
      </w:pPr>
      <w:r>
        <w:t xml:space="preserve">Read the data card, and discuss your reasoning.</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2022-12-14T07:02:21Z</dcterms:created>
  <dcterms:modified xsi:type="dcterms:W3CDTF">2022-12-14T07:02:21Z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Z578dOTVb6FFPnP6UbjMzBCPw9CWt2mqGvCDpKgYNpJDmrktiF2X/IDa0OQA3OCkKWe6VoI9NLGfembU3Bc1zw==</vt:lpwstr>
  </property>
</Properties>
</file>