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7-shake-and-spill"/>
    <w:p>
      <w:pPr>
        <w:pStyle w:val="Heading1"/>
      </w:pPr>
      <w:r>
        <w:t xml:space="preserve">Lesson 7: Shake and Spill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r>
        <w:tc>
          <w:tcPr/>
          <w:p>
            <w:pPr>
              <w:pStyle w:val="Compact"/>
              <w:jc w:val="left"/>
            </w:pPr>
            <w:r>
              <w:t xml:space="preserve">Building Towards</w:t>
            </w:r>
          </w:p>
        </w:tc>
        <w:tc>
          <w:tcPr/>
          <w:p>
            <w:pPr>
              <w:pStyle w:val="Compact"/>
              <w:jc w:val="left"/>
            </w:pPr>
            <w:r>
              <w:t xml:space="preserve">1.OA.B.3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Put Together/Take Apart, Both Addends Unknown story problems in a way that makes sense to them.</w:t>
      </w:r>
    </w:p>
    <w:p>
      <w:pPr>
        <w:numPr>
          <w:ilvl w:val="0"/>
          <w:numId w:val="1001"/>
        </w:numPr>
        <w:pStyle w:val="Compact"/>
      </w:pPr>
      <w:r>
        <w:t xml:space="preserve">Write an equation and explain why it matches a story problem.</w:t>
      </w:r>
    </w:p>
    <w:bookmarkEnd w:id="24"/>
    <w:bookmarkStart w:id="25" w:name="student-facing-learning-goals"/>
    <w:p>
      <w:pPr>
        <w:pStyle w:val="Heading3"/>
      </w:pPr>
      <w:r>
        <w:t xml:space="preserve">Student-facing Learning Goals</w:t>
      </w:r>
    </w:p>
    <w:p>
      <w:pPr>
        <w:numPr>
          <w:ilvl w:val="0"/>
          <w:numId w:val="1002"/>
        </w:numPr>
        <w:pStyle w:val="Compact"/>
      </w:pPr>
      <w:r>
        <w:t xml:space="preserve">Let’s think about breaking numbers apart and putting them back together.</w:t>
      </w:r>
    </w:p>
    <w:bookmarkEnd w:id="25"/>
    <w:bookmarkStart w:id="26" w:name="lesson-purpose"/>
    <w:p>
      <w:pPr>
        <w:pStyle w:val="Heading3"/>
      </w:pPr>
      <w:r>
        <w:t xml:space="preserve">Lesson Purpose</w:t>
      </w:r>
    </w:p>
    <w:p>
      <w:pPr>
        <w:pStyle w:val="FirstParagraph"/>
      </w:pPr>
      <w:r>
        <w:t xml:space="preserve">The purpose of this lesson is for students to make sense of, represent, and solve Put Together/Take Apart, Both Addends Unknown story problems. Students write equations and explain how they relate to the story problems.</w:t>
      </w:r>
    </w:p>
    <w:p>
      <w:pPr>
        <w:pStyle w:val="BodyText"/>
      </w:pPr>
      <w:r>
        <w:t xml:space="preserve">This work builds on work from kindergarten when students composed and decomposed numbers in more than one way and represented these decompositions with their fingers, connecting cubes, two-color counters, drawings, and expressions. Students revisit Put Together/Take Apart, Both Addends Unknown problems through a game in which they decompose a total into two addends. Students record the decomposition with an equation. In Activity 2, students solve and represent story problems based on the context of the game, and explore the different places the total can be represented in an equation, which deepens understanding of the meaning of the equal sign.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 MLR2 Collect and Display (Activity 1)</w:t>
      </w:r>
    </w:p>
    <w:bookmarkEnd w:id="36"/>
    <w:bookmarkStart w:id="37" w:name="materials-to-gather"/>
    <w:p>
      <w:pPr>
        <w:pStyle w:val="Heading3"/>
      </w:pPr>
      <w:r>
        <w:t xml:space="preserve">Materials to Gather</w:t>
      </w:r>
    </w:p>
    <w:p>
      <w:pPr>
        <w:numPr>
          <w:ilvl w:val="0"/>
          <w:numId w:val="1005"/>
        </w:numPr>
        <w:pStyle w:val="Compact"/>
      </w:pPr>
      <w:r>
        <w:t xml:space="preserve">10-frames: Activity 2</w:t>
      </w:r>
    </w:p>
    <w:p>
      <w:pPr>
        <w:numPr>
          <w:ilvl w:val="0"/>
          <w:numId w:val="1005"/>
        </w:numPr>
        <w:pStyle w:val="Compact"/>
      </w:pPr>
      <w:r>
        <w:t xml:space="preserve">Cups: Activity 1</w:t>
      </w:r>
    </w:p>
    <w:p>
      <w:pPr>
        <w:numPr>
          <w:ilvl w:val="0"/>
          <w:numId w:val="1005"/>
        </w:numPr>
        <w:pStyle w:val="Compact"/>
      </w:pPr>
      <w:r>
        <w:t xml:space="preserve">Two-color counters: Activity 1, Activity 2</w:t>
      </w:r>
    </w:p>
    <w:bookmarkEnd w:id="37"/>
    <w:bookmarkStart w:id="38" w:name="materials-to-copy"/>
    <w:p>
      <w:pPr>
        <w:pStyle w:val="Heading3"/>
      </w:pPr>
      <w:r>
        <w:t xml:space="preserve">Materials to Copy</w:t>
      </w:r>
    </w:p>
    <w:p>
      <w:pPr>
        <w:numPr>
          <w:ilvl w:val="0"/>
          <w:numId w:val="1006"/>
        </w:numPr>
        <w:pStyle w:val="Compact"/>
      </w:pPr>
      <w:r>
        <w:t xml:space="preserve">Shake and Spill Stage 3 Recording Sheet Grade 1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evidence have students given that they understand the meaning of the equal sign? Why is it important for students to understand the meaning of the equal sign before solving Addend Unknown problems in the upcoming lessons?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Priya Plays Shake and Spill</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5"/>
    <w:bookmarkStart w:id="49" w:name="student-facing-task-statement"/>
    <w:p>
      <w:pPr>
        <w:pStyle w:val="Heading3"/>
      </w:pPr>
      <w:r>
        <w:t xml:space="preserve">Student-facing Task Statement</w:t>
      </w:r>
    </w:p>
    <w:p>
      <w:pPr>
        <w:pStyle w:val="FirstParagraph"/>
      </w:pPr>
      <w:r>
        <w:t xml:space="preserve">Priya played Shake and Spill using 7 two-color counters.</w:t>
      </w:r>
      <w:r>
        <w:br/>
      </w:r>
      <w:r>
        <w:t xml:space="preserve">This is how her counters look.</w:t>
      </w:r>
    </w:p>
    <w:p>
      <w:pPr>
        <w:pStyle w:val="BodyText"/>
      </w:pPr>
      <w:r>
        <w:drawing>
          <wp:inline>
            <wp:extent cx="4457700" cy="548645"/>
            <wp:effectExtent b="0" l="0" r="0" t="0"/>
            <wp:docPr descr="Two-color counters, 7 total. 3 red. 4 yellow." title="" id="47" name="Picture"/>
            <a:graphic>
              <a:graphicData uri="http://schemas.openxmlformats.org/drawingml/2006/picture">
                <pic:pic>
                  <pic:nvPicPr>
                    <pic:cNvPr descr="/app/tmp/embedder-1671015981.2728102.png" id="48" name="Picture"/>
                    <pic:cNvPicPr>
                      <a:picLocks noChangeArrowheads="1" noChangeAspect="1"/>
                    </pic:cNvPicPr>
                  </pic:nvPicPr>
                  <pic:blipFill>
                    <a:blip r:embed="rId46"/>
                    <a:stretch>
                      <a:fillRect/>
                    </a:stretch>
                  </pic:blipFill>
                  <pic:spPr bwMode="auto">
                    <a:xfrm>
                      <a:off x="0" y="0"/>
                      <a:ext cx="4457700" cy="548645"/>
                    </a:xfrm>
                    <a:prstGeom prst="rect">
                      <a:avLst/>
                    </a:prstGeom>
                    <a:noFill/>
                    <a:ln w="9525">
                      <a:noFill/>
                      <a:headEnd/>
                      <a:tailEnd/>
                    </a:ln>
                  </pic:spPr>
                </pic:pic>
              </a:graphicData>
            </a:graphic>
          </wp:inline>
        </w:drawing>
      </w:r>
    </w:p>
    <w:p>
      <w:pPr>
        <w:pStyle w:val="BodyText"/>
      </w:pPr>
      <w:r>
        <w:t xml:space="preserve">Write an equation to match the counters.</w:t>
      </w:r>
    </w:p>
    <w:p>
      <w:pPr>
        <w:pStyle w:val="BodyText"/>
      </w:pPr>
      <w:r>
        <w:t xml:space="preserve">Equation: ________________________________</w:t>
      </w:r>
    </w:p>
    <w:p>
      <w:pPr>
        <w:pStyle w:val="BodyText"/>
      </w:pPr>
      <w:r>
        <w:t xml:space="preserve">Explain how your equation matches Priya’s counters.</w:t>
      </w:r>
    </w:p>
    <w:bookmarkEnd w:id="49"/>
    <w:bookmarkStart w:id="50" w:name="student-responses"/>
    <w:p>
      <w:pPr>
        <w:pStyle w:val="Heading3"/>
      </w:pPr>
      <w:r>
        <w:t xml:space="preserve">Student Responses</w:t>
      </w:r>
    </w:p>
    <w:p>
      <w:pPr>
        <w:pStyle w:val="FirstParagraph"/>
      </w:pPr>
      <m:oMath>
        <m:borderBox>
          <m:e>
            <m:r>
              <m:t>3</m:t>
            </m:r>
          </m:e>
        </m:borderBox>
        <m:r>
          <m:rPr>
            <m:sty m:val="p"/>
          </m:rPr>
          <m:t>+</m:t>
        </m:r>
        <m:borderBox>
          <m:e>
            <m:r>
              <m:t>4</m:t>
            </m:r>
          </m:e>
        </m:borderBox>
        <m:r>
          <m:rPr>
            <m:sty m:val="p"/>
          </m:rPr>
          <m:t>=</m:t>
        </m:r>
        <m:r>
          <m:t>7</m:t>
        </m:r>
      </m:oMath>
      <w:r>
        <w:t xml:space="preserve">,</w:t>
      </w:r>
      <w:r>
        <w:t xml:space="preserve"> </w:t>
      </w:r>
      <m:oMath>
        <m:borderBox>
          <m:e>
            <m:r>
              <m:t>4</m:t>
            </m:r>
          </m:e>
        </m:borderBox>
        <m:r>
          <m:rPr>
            <m:sty m:val="p"/>
          </m:rPr>
          <m:t>+</m:t>
        </m:r>
        <m:borderBox>
          <m:e>
            <m:r>
              <m:t>3</m:t>
            </m:r>
          </m:e>
        </m:borderBox>
        <m:r>
          <m:rPr>
            <m:sty m:val="p"/>
          </m:rPr>
          <m:t>=</m:t>
        </m:r>
        <m:r>
          <m:t>7</m:t>
        </m:r>
      </m:oMath>
      <w:r>
        <w:t xml:space="preserve">,</w:t>
      </w:r>
      <w:r>
        <w:t xml:space="preserve"> </w:t>
      </w:r>
      <m:oMath>
        <m:r>
          <m:t>7</m:t>
        </m:r>
        <m:r>
          <m:rPr>
            <m:sty m:val="p"/>
          </m:rPr>
          <m:t>=</m:t>
        </m:r>
        <m:borderBox>
          <m:e>
            <m:r>
              <m:t>3</m:t>
            </m:r>
          </m:e>
        </m:borderBox>
        <m:r>
          <m:rPr>
            <m:sty m:val="p"/>
          </m:rPr>
          <m:t>+</m:t>
        </m:r>
        <m:borderBox>
          <m:e>
            <m:r>
              <m:t>4</m:t>
            </m:r>
          </m:e>
        </m:borderBox>
      </m:oMath>
      <w:r>
        <w:t xml:space="preserve">, or</w:t>
      </w:r>
      <w:r>
        <w:t xml:space="preserve"> </w:t>
      </w:r>
      <m:oMath>
        <m:r>
          <m:t>7</m:t>
        </m:r>
        <m:r>
          <m:rPr>
            <m:sty m:val="p"/>
          </m:rPr>
          <m:t>=</m:t>
        </m:r>
        <m:borderBox>
          <m:e>
            <m:r>
              <m:t>4</m:t>
            </m:r>
          </m:e>
        </m:borderBox>
        <m:r>
          <m:rPr>
            <m:sty m:val="p"/>
          </m:rPr>
          <m:t>+</m:t>
        </m:r>
        <m:borderBox>
          <m:e>
            <m:r>
              <m:t>3</m:t>
            </m:r>
          </m:e>
        </m:borderBox>
      </m:oMath>
      <w:r>
        <w:t xml:space="preserve">. Sample response: There are 3 red and 4 yellow. Altogether that is 7 counters.</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2022-12-14T11:06:22Z</dcterms:created>
  <dcterms:modified xsi:type="dcterms:W3CDTF">2022-12-14T11:06:22Z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Tqbjow4+QBLi/BFAecR8fS1NODTrT73qSVwuj0S61KNqoqb6Yra4TycYsl4ooFAVFKVBsv/F4PHM1sv/MLXX/g==</vt:lpwstr>
  </property>
</Properties>
</file>