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49.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3-encontremos-medidas-de-ángulos"/>
    <w:p>
      <w:pPr>
        <w:pStyle w:val="Heading1"/>
      </w:pPr>
      <w:r>
        <w:t xml:space="preserve">Lesson 13: Encontremos medidas de 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angles to determine their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Compongamos y descompongamos ángulos para encontrar sus medidas.</w:t>
      </w:r>
    </w:p>
    <w:bookmarkEnd w:id="25"/>
    <w:bookmarkStart w:id="26" w:name="lesson-purpose"/>
    <w:p>
      <w:pPr>
        <w:pStyle w:val="Heading3"/>
      </w:pPr>
      <w:r>
        <w:t xml:space="preserve">Lesson Purpose</w:t>
      </w:r>
    </w:p>
    <w:p>
      <w:pPr>
        <w:pStyle w:val="FirstParagraph"/>
      </w:pPr>
      <w:r>
        <w:t xml:space="preserve">The purpose of this lesson is for students to find unknown angle measurements by composing or decomposing known measurements, and to see that an angle is not determined by the length of the segments that form it.</w:t>
      </w:r>
    </w:p>
    <w:p>
      <w:pPr>
        <w:pStyle w:val="BodyText"/>
      </w:pPr>
      <w:r>
        <w:t xml:space="preserve">In this lesson, students use tactile tools to find angle measurements and observe more clearly that angles are additive. They compose and decompose angles by arranging paper cutouts, by folding paper or tracing, and by drawing diagrams. Students arrange smaller angles whose sizes are unknown into larger angles with familiar sizes and features (</w:t>
      </w:r>
      <m:oMath>
        <m:sSup>
          <m:e>
            <m:r>
              <m:t>90</m:t>
            </m:r>
          </m:e>
          <m:sup>
            <m:r>
              <m:rPr>
                <m:sty m:val="p"/>
              </m:rPr>
              <m:t>∘</m:t>
            </m:r>
          </m:sup>
        </m:sSup>
      </m:oMath>
      <w:r>
        <w:t xml:space="preserve">,</w:t>
      </w:r>
      <w:r>
        <w:t xml:space="preserve"> </w:t>
      </w:r>
      <m:oMath>
        <m:sSup>
          <m:e>
            <m:r>
              <m:t>180</m:t>
            </m:r>
          </m:e>
          <m:sup>
            <m:r>
              <m:rPr>
                <m:sty m:val="p"/>
              </m:rPr>
              <m:t>∘</m:t>
            </m:r>
          </m:sup>
        </m:sSup>
      </m:oMath>
      <w:r>
        <w:t xml:space="preserve">, and</w:t>
      </w:r>
      <w:r>
        <w:t xml:space="preserve"> </w:t>
      </w:r>
      <m:oMath>
        <m:sSup>
          <m:e>
            <m:r>
              <m:t>360</m:t>
            </m:r>
          </m:e>
          <m:sup>
            <m:r>
              <m:rPr>
                <m:sty m:val="p"/>
              </m:rPr>
              <m:t>∘</m:t>
            </m:r>
          </m:sup>
        </m:sSup>
      </m:oMath>
      <w:r>
        <w:t xml:space="preserve">). Once the measurement of an angle is known, they use it to find those of other angles. For example, if two copies of angle</w:t>
      </w:r>
      <w:r>
        <w:t xml:space="preserve"> </w:t>
      </w:r>
      <m:oMath>
        <m:r>
          <m:t>x</m:t>
        </m:r>
      </m:oMath>
      <w:r>
        <w:t xml:space="preserve"> </w:t>
      </w:r>
      <w:r>
        <w:t xml:space="preserve">form a right angle, angle</w:t>
      </w:r>
      <w:r>
        <w:t xml:space="preserve"> </w:t>
      </w:r>
      <m:oMath>
        <m:r>
          <m:t>x</m:t>
        </m:r>
      </m:oMath>
      <w:r>
        <w:t xml:space="preserve"> </w:t>
      </w:r>
      <w:r>
        <w:t xml:space="preserve">must be</w:t>
      </w:r>
      <w:r>
        <w:t xml:space="preserve"> </w:t>
      </w:r>
      <m:oMath>
        <m:sSup>
          <m:e>
            <m:r>
              <m:t>45</m:t>
            </m:r>
          </m:e>
          <m:sup>
            <m:r>
              <m:rPr>
                <m:sty m:val="p"/>
              </m:rPr>
              <m:t>∘</m:t>
            </m:r>
          </m:sup>
        </m:sSup>
      </m:oMath>
      <w:r>
        <w:t xml:space="preserve">. If another angle,</w:t>
      </w:r>
      <w:r>
        <w:t xml:space="preserve"> </w:t>
      </w:r>
      <m:oMath>
        <m:r>
          <m:t>z</m:t>
        </m:r>
      </m:oMath>
      <w:r>
        <w:t xml:space="preserve">, can be decomposed into three of these</w:t>
      </w:r>
      <w:r>
        <w:t xml:space="preserve"> </w:t>
      </w:r>
      <m:oMath>
        <m:sSup>
          <m:e>
            <m:r>
              <m:t>45</m:t>
            </m:r>
          </m:e>
          <m:sup>
            <m:r>
              <m:rPr>
                <m:sty m:val="p"/>
              </m:rPr>
              <m:t>∘</m:t>
            </m:r>
          </m:sup>
        </m:sSup>
      </m:oMath>
      <w:r>
        <w:t xml:space="preserve"> </w:t>
      </w:r>
      <w:r>
        <w:t xml:space="preserve">angles, then</w:t>
      </w:r>
      <w:r>
        <w:t xml:space="preserve"> </w:t>
      </w:r>
      <m:oMath>
        <m:r>
          <m:t>z</m:t>
        </m:r>
      </m:oMath>
      <w:r>
        <w:t xml:space="preserve"> </w:t>
      </w:r>
      <w:r>
        <w:t xml:space="preserve">must be</w:t>
      </w:r>
      <w:r>
        <w:t xml:space="preserve"> </w:t>
      </w:r>
      <m:oMath>
        <m:sSup>
          <m:e>
            <m:r>
              <m:t>135</m:t>
            </m:r>
          </m:e>
          <m:sup>
            <m:r>
              <m:rPr>
                <m:sty m:val="p"/>
              </m:rPr>
              <m:t>∘</m:t>
            </m:r>
          </m:sup>
        </m:sSup>
      </m:oMath>
      <w:r>
        <w:t xml:space="preserve">.</w:t>
      </w:r>
    </w:p>
    <w:p>
      <w:pPr>
        <w:pStyle w:val="BodyText"/>
      </w:pPr>
      <w:r>
        <w:t xml:space="preserve">Encourage students to continue to collect, define, and illustrate new terms to support communication and reasoning at the end of each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MLR5 Co-craft Questions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Origami paper: Activity 2</w:t>
      </w:r>
    </w:p>
    <w:p>
      <w:pPr>
        <w:numPr>
          <w:ilvl w:val="0"/>
          <w:numId w:val="1004"/>
        </w:numPr>
        <w:pStyle w:val="Compact"/>
      </w:pPr>
      <w:r>
        <w:t xml:space="preserve">Patty paper: Activity 1</w:t>
      </w:r>
    </w:p>
    <w:bookmarkEnd w:id="33"/>
    <w:bookmarkStart w:id="34" w:name="materials-to-copy"/>
    <w:p>
      <w:pPr>
        <w:pStyle w:val="Heading3"/>
      </w:pPr>
      <w:r>
        <w:t xml:space="preserve">Materials to Copy</w:t>
      </w:r>
    </w:p>
    <w:p>
      <w:pPr>
        <w:numPr>
          <w:ilvl w:val="0"/>
          <w:numId w:val="1005"/>
        </w:numPr>
        <w:pStyle w:val="Compact"/>
      </w:pPr>
      <w:r>
        <w:t xml:space="preserve">How Big Are These Angles? (groups of 2):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The work of finding angle measurements in this lesson offered opportunities to reason about equal groups. Did you hear students use this type of reasoning? What were some other ways students reasoned about the angle sizes?</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Grupos de tres ángulos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4.MD.C.7</w:t>
            </w:r>
          </w:p>
        </w:tc>
      </w:tr>
    </w:tbl>
    <w:bookmarkEnd w:id="42"/>
    <w:bookmarkStart w:id="52" w:name="student-facing-task-statement"/>
    <w:p>
      <w:pPr>
        <w:pStyle w:val="Heading3"/>
      </w:pPr>
      <w:r>
        <w:t xml:space="preserve">Student-facing Task Statement</w:t>
      </w:r>
    </w:p>
    <w:p>
      <w:pPr>
        <w:pStyle w:val="FirstParagraph"/>
      </w:pPr>
      <w:r>
        <w:t xml:space="preserve">Noah recorta 3 copias del ángulo </w:t>
      </w:r>
      <m:oMath>
        <m:r>
          <m:t>p</m:t>
        </m:r>
      </m:oMath>
      <w:r>
        <w:t xml:space="preserve"> </w:t>
      </w:r>
      <w:r>
        <w:t xml:space="preserve">y 3 copias del ángulo </w:t>
      </w:r>
      <m:oMath>
        <m:r>
          <m:t>q</m:t>
        </m:r>
      </m:oMath>
      <w:r>
        <w:t xml:space="preserve">. Él las organiza una al lado de la otra.</w:t>
      </w:r>
    </w:p>
    <w:p>
      <w:pPr>
        <w:numPr>
          <w:ilvl w:val="0"/>
          <w:numId w:val="1007"/>
        </w:numPr>
      </w:pPr>
      <w:r>
        <w:t xml:space="preserve">Tres copias del ángulo </w:t>
      </w:r>
      <m:oMath>
        <m:r>
          <m:t>p</m:t>
        </m:r>
      </m:oMath>
      <w:r>
        <w:t xml:space="preserve"> forman una línea recta. ¿Cuántos grados mide el ángulo </w:t>
      </w:r>
      <m:oMath>
        <m:r>
          <m:t>p</m:t>
        </m:r>
      </m:oMath>
      <w:r>
        <w:t xml:space="preserve">? Explica o muestra cómo razonaste.</w:t>
      </w:r>
    </w:p>
    <w:p>
      <w:pPr>
        <w:numPr>
          <w:ilvl w:val="0"/>
          <w:numId w:val="1000"/>
        </w:numPr>
        <w:pStyle w:val="Compact"/>
      </w:pPr>
      <w:r>
        <w:drawing>
          <wp:inline>
            <wp:extent cx="3688181" cy="1844090"/>
            <wp:effectExtent b="0" l="0" r="0" t="0"/>
            <wp:docPr descr="" title="" id="44" name="Picture"/>
            <a:graphic>
              <a:graphicData uri="http://schemas.openxmlformats.org/drawingml/2006/picture">
                <pic:pic>
                  <pic:nvPicPr>
                    <pic:cNvPr descr="/app/tmp/embedder-1671064691.8294218.png" id="45" name="Picture"/>
                    <pic:cNvPicPr>
                      <a:picLocks noChangeArrowheads="1" noChangeAspect="1"/>
                    </pic:cNvPicPr>
                  </pic:nvPicPr>
                  <pic:blipFill>
                    <a:blip r:embed="rId43"/>
                    <a:stretch>
                      <a:fillRect/>
                    </a:stretch>
                  </pic:blipFill>
                  <pic:spPr bwMode="auto">
                    <a:xfrm>
                      <a:off x="0" y="0"/>
                      <a:ext cx="3688181" cy="1844090"/>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Pr>
      <w:r>
        <w:t xml:space="preserve">Tres copias del ángulo </w:t>
      </w:r>
      <m:oMath>
        <m:r>
          <m:t>q</m:t>
        </m:r>
      </m:oMath>
      <w:r>
        <w:t xml:space="preserve"> forman un ángulo recto. ¿Cuántos grados mide el ángulo </w:t>
      </w:r>
      <m:oMath>
        <m:r>
          <m:t>q</m:t>
        </m:r>
      </m:oMath>
      <w:r>
        <w:t xml:space="preserve">? Explica o muestra cómo razonaste.</w:t>
      </w:r>
    </w:p>
    <w:p>
      <w:pPr>
        <w:numPr>
          <w:ilvl w:val="0"/>
          <w:numId w:val="1000"/>
        </w:numPr>
        <w:pStyle w:val="Compact"/>
      </w:pPr>
      <w:r>
        <w:drawing>
          <wp:inline>
            <wp:extent cx="1874672" cy="1896080"/>
            <wp:effectExtent b="0" l="0" r="0" t="0"/>
            <wp:docPr descr="" title="" id="47" name="Picture"/>
            <a:graphic>
              <a:graphicData uri="http://schemas.openxmlformats.org/drawingml/2006/picture">
                <pic:pic>
                  <pic:nvPicPr>
                    <pic:cNvPr descr="/app/tmp/embedder-1671064691.8737795.png" id="48" name="Picture"/>
                    <pic:cNvPicPr>
                      <a:picLocks noChangeArrowheads="1" noChangeAspect="1"/>
                    </pic:cNvPicPr>
                  </pic:nvPicPr>
                  <pic:blipFill>
                    <a:blip r:embed="rId46"/>
                    <a:stretch>
                      <a:fillRect/>
                    </a:stretch>
                  </pic:blipFill>
                  <pic:spPr bwMode="auto">
                    <a:xfrm>
                      <a:off x="0" y="0"/>
                      <a:ext cx="1874672" cy="1896080"/>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Pr>
      <w:r>
        <w:t xml:space="preserve">Noah pone el ángulo </w:t>
      </w:r>
      <m:oMath>
        <m:r>
          <m:t>p</m:t>
        </m:r>
      </m:oMath>
      <w:r>
        <w:t xml:space="preserve"> </w:t>
      </w:r>
      <w:r>
        <w:t xml:space="preserve">junto al ángulo </w:t>
      </w:r>
      <m:oMath>
        <m:r>
          <m:t>q</m:t>
        </m:r>
      </m:oMath>
      <w:r>
        <w:t xml:space="preserve">. ¿Cuántos grados mide el ángulo que se forma? Explica o muestra cómo razonaste.</w:t>
      </w:r>
    </w:p>
    <w:p>
      <w:pPr>
        <w:numPr>
          <w:ilvl w:val="0"/>
          <w:numId w:val="1000"/>
        </w:numPr>
        <w:pStyle w:val="Compact"/>
      </w:pPr>
      <w:r>
        <w:drawing>
          <wp:inline>
            <wp:extent cx="2544417" cy="1981709"/>
            <wp:effectExtent b="0" l="0" r="0" t="0"/>
            <wp:docPr descr="" title="" id="50" name="Picture"/>
            <a:graphic>
              <a:graphicData uri="http://schemas.openxmlformats.org/drawingml/2006/picture">
                <pic:pic>
                  <pic:nvPicPr>
                    <pic:cNvPr descr="/app/tmp/embedder-1671064691.921726.png" id="51" name="Picture"/>
                    <pic:cNvPicPr>
                      <a:picLocks noChangeArrowheads="1" noChangeAspect="1"/>
                    </pic:cNvPicPr>
                  </pic:nvPicPr>
                  <pic:blipFill>
                    <a:blip r:embed="rId49"/>
                    <a:stretch>
                      <a:fillRect/>
                    </a:stretch>
                  </pic:blipFill>
                  <pic:spPr bwMode="auto">
                    <a:xfrm>
                      <a:off x="0" y="0"/>
                      <a:ext cx="2544417" cy="1981709"/>
                    </a:xfrm>
                    <a:prstGeom prst="rect">
                      <a:avLst/>
                    </a:prstGeom>
                    <a:noFill/>
                    <a:ln w="9525">
                      <a:noFill/>
                      <a:headEnd/>
                      <a:tailEnd/>
                    </a:ln>
                  </pic:spPr>
                </pic:pic>
              </a:graphicData>
            </a:graphic>
          </wp:inline>
        </w:drawing>
      </w:r>
    </w:p>
    <w:p>
      <w:pPr>
        <w:numPr>
          <w:ilvl w:val="0"/>
          <w:numId w:val="1000"/>
        </w:numPr>
      </w:pPr>
      <w:r>
        <w:t xml:space="preserve"> </w:t>
      </w:r>
    </w:p>
    <w:bookmarkEnd w:id="52"/>
    <w:bookmarkStart w:id="53" w:name="student-responses"/>
    <w:p>
      <w:pPr>
        <w:pStyle w:val="Heading3"/>
      </w:pPr>
      <w:r>
        <w:t xml:space="preserve">Student Responses</w:t>
      </w:r>
    </w:p>
    <w:p>
      <w:pPr>
        <w:numPr>
          <w:ilvl w:val="0"/>
          <w:numId w:val="1008"/>
        </w:numPr>
        <w:pStyle w:val="Compact"/>
      </w:pPr>
      <m:oMath>
        <m:sSup>
          <m:e>
            <m:r>
              <m:t>60</m:t>
            </m:r>
          </m:e>
          <m:sup>
            <m:r>
              <m:rPr>
                <m:sty m:val="p"/>
              </m:rPr>
              <m:t>∘</m:t>
            </m:r>
          </m:sup>
        </m:sSup>
      </m:oMath>
      <w:r>
        <w:t xml:space="preserve">.Sample response: Three times the measure of </w:t>
      </w:r>
      <m:oMath>
        <m:r>
          <m:t>p</m:t>
        </m:r>
      </m:oMath>
      <w:r>
        <w:t xml:space="preserve"> </w:t>
      </w:r>
      <w:r>
        <w:t xml:space="preserve">is</w:t>
      </w:r>
      <w:r>
        <w:t xml:space="preserve"> </w:t>
      </w:r>
      <m:oMath>
        <m:sSup>
          <m:e>
            <m:r>
              <m:t>180</m:t>
            </m:r>
          </m:e>
          <m:sup>
            <m:r>
              <m:rPr>
                <m:sty m:val="p"/>
              </m:rPr>
              <m:t>∘</m:t>
            </m:r>
          </m:sup>
        </m:sSup>
      </m:oMath>
      <w:r>
        <w:t xml:space="preserve">, so</w:t>
      </w:r>
      <w:r>
        <w:t xml:space="preserve"> </w:t>
      </w:r>
      <m:oMath>
        <m:r>
          <m:t>p</m:t>
        </m:r>
      </m:oMath>
      <w:r>
        <w:t xml:space="preserve"> </w:t>
      </w:r>
      <w:r>
        <w:t xml:space="preserve">must measure </w:t>
      </w:r>
      <m:oMath>
        <m:sSup>
          <m:e>
            <m:r>
              <m:t>60</m:t>
            </m:r>
          </m:e>
          <m:sup>
            <m:r>
              <m:rPr>
                <m:sty m:val="p"/>
              </m:rPr>
              <m:t>∘</m:t>
            </m:r>
          </m:sup>
        </m:sSup>
      </m:oMath>
      <w:r>
        <w:t xml:space="preserve">.</w:t>
      </w:r>
    </w:p>
    <w:p>
      <w:pPr>
        <w:numPr>
          <w:ilvl w:val="0"/>
          <w:numId w:val="1008"/>
        </w:numPr>
        <w:pStyle w:val="Compact"/>
      </w:pPr>
      <m:oMath>
        <m:sSup>
          <m:e>
            <m:r>
              <m:t>30</m:t>
            </m:r>
          </m:e>
          <m:sup>
            <m:r>
              <m:rPr>
                <m:sty m:val="p"/>
              </m:rPr>
              <m:t>∘</m:t>
            </m:r>
          </m:sup>
        </m:sSup>
      </m:oMath>
      <w:r>
        <w:t xml:space="preserve">. Sample response:</w:t>
      </w:r>
      <w:r>
        <w:t xml:space="preserve"> </w:t>
      </w:r>
      <m:oMath>
        <m:r>
          <m:t>90</m:t>
        </m:r>
        <m:r>
          <m:rPr>
            <m:sty m:val="p"/>
          </m:rPr>
          <m:t>÷</m:t>
        </m:r>
        <m:r>
          <m:t>3</m:t>
        </m:r>
        <m:r>
          <m:rPr>
            <m:sty m:val="p"/>
          </m:rPr>
          <m:t>=</m:t>
        </m:r>
        <m:r>
          <m:t>30</m:t>
        </m:r>
      </m:oMath>
      <w:r>
        <w:t xml:space="preserve">.</w:t>
      </w:r>
    </w:p>
    <w:p>
      <w:pPr>
        <w:numPr>
          <w:ilvl w:val="0"/>
          <w:numId w:val="1008"/>
        </w:numPr>
        <w:pStyle w:val="Compact"/>
      </w:pPr>
      <m:oMath>
        <m:sSup>
          <m:e>
            <m:r>
              <m:t>90</m:t>
            </m:r>
          </m:e>
          <m:sup>
            <m:r>
              <m:rPr>
                <m:sty m:val="p"/>
              </m:rPr>
              <m:t>∘</m:t>
            </m:r>
          </m:sup>
        </m:sSup>
      </m:oMath>
      <w:r>
        <w:t xml:space="preserve">. Sample response: </w:t>
      </w:r>
      <w:r>
        <w:t xml:space="preserve"> </w:t>
      </w:r>
      <m:oMath>
        <m:r>
          <m:t>60</m:t>
        </m:r>
        <m:r>
          <m:rPr>
            <m:sty m:val="p"/>
          </m:rPr>
          <m:t>+</m:t>
        </m:r>
        <m:r>
          <m:t>30</m:t>
        </m:r>
        <m:r>
          <m:rPr>
            <m:sty m:val="p"/>
          </m:rPr>
          <m:t>=</m:t>
        </m:r>
        <m:r>
          <m:t>90</m:t>
        </m:r>
      </m:oMath>
      <w:r>
        <w:t xml:space="preserve">.</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2022-12-15T00:38:12Z</dcterms:created>
  <dcterms:modified xsi:type="dcterms:W3CDTF">2022-12-15T00:38:12Z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Vh1usNQ4D7Ua3k3wAw7CfkMbeoURuMyQ9CQqa/hRVTByGSvpuLD36N867u5Sau4WevMDAwUykYtxrs8bjF5WbQ==</vt:lpwstr>
  </property>
</Properties>
</file>