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1-todo-tipo-de-prismas"/>
    <w:p>
      <w:pPr>
        <w:pStyle w:val="Heading1"/>
      </w:pPr>
      <w:r>
        <w:t xml:space="preserve">Lesson 11: Todo tipo de prismas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 5.MD.C.5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real-world and mathematical problems involving volume.</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el volumen de distintos tipos de prismas.</w:t>
      </w:r>
    </w:p>
    <w:bookmarkEnd w:id="25"/>
    <w:bookmarkStart w:id="26" w:name="lesson-purpose"/>
    <w:p>
      <w:pPr>
        <w:pStyle w:val="Heading3"/>
      </w:pPr>
      <w:r>
        <w:t xml:space="preserve">Lesson Purpose</w:t>
      </w:r>
    </w:p>
    <w:p>
      <w:pPr>
        <w:pStyle w:val="FirstParagraph"/>
      </w:pPr>
      <w:r>
        <w:t xml:space="preserve">The mathematical purpose of this lesson is for students to apply what they have learned about finding the volumes of right rectangular prisms and figures composed of right rectangular prisms to solve real-world problems.</w:t>
      </w:r>
    </w:p>
    <w:p>
      <w:pPr>
        <w:pStyle w:val="BodyText"/>
      </w:pPr>
      <w:r>
        <w:t xml:space="preserve">In previous lessons, students learned to find the volume of a right rectangular prism by multiplying the number of cubes in a layer by the number of layers. They found the volumes of rectangular prisms with and without the unit cubes showing. They used the associative property of multiplication to represent threefold whole-number products as volumes and learned to find the volume of rectangular prisms with whole-number side lengths by multiplying the length by the width by the height and multiplying the area of the base times the height. They also understand volume as additive. They found volumes of solid figures composed of two non-overlapping right rectangular prisms by adding the volumes of the non-overlapping parts. In this lesson, students apply these understandings to solve real-world problems.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How have you seen each student grow as a young mathematician throughout this work? How have you seen yourself grow as a teacher? What will you continue to do and what will you improve on in Unit 2?</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volumen de un arenero</w:t>
      </w:r>
    </w:p>
    <w:bookmarkEnd w:id="42"/>
    <w:bookmarkStart w:id="46" w:name="student-facing-task-statement"/>
    <w:p>
      <w:pPr>
        <w:pStyle w:val="Heading3"/>
      </w:pPr>
      <w:r>
        <w:t xml:space="preserve">Student-facing Task Statement</w:t>
      </w:r>
    </w:p>
    <w:p>
      <w:pPr>
        <w:pStyle w:val="FirstParagraph"/>
      </w:pPr>
      <w:r>
        <w:t xml:space="preserve">Una escuela preescolar está construyendo un arenero. El diagrama muestra las longitudes de los lados del arenero.</w:t>
      </w:r>
    </w:p>
    <w:p>
      <w:pPr>
        <w:pStyle w:val="BodyText"/>
      </w:pPr>
      <w:r>
        <w:t xml:space="preserve">¿Cuál es el volumen del arenero? Explica o muestra tu razonamiento.</w:t>
      </w:r>
    </w:p>
    <w:p>
      <w:pPr>
        <w:pStyle w:val="BodyText"/>
      </w:pPr>
      <w:r>
        <w:drawing>
          <wp:inline>
            <wp:extent cx="2971800" cy="1703070"/>
            <wp:effectExtent b="0" l="0" r="0" t="0"/>
            <wp:docPr descr="6-sided rectangular prism." title="" id="44" name="Picture"/>
            <a:graphic>
              <a:graphicData uri="http://schemas.openxmlformats.org/drawingml/2006/picture">
                <pic:pic>
                  <pic:nvPicPr>
                    <pic:cNvPr descr="/app/tmp/embedder-1671065156.9514396.png" id="45" name="Picture"/>
                    <pic:cNvPicPr>
                      <a:picLocks noChangeArrowheads="1" noChangeAspect="1"/>
                    </pic:cNvPicPr>
                  </pic:nvPicPr>
                  <pic:blipFill>
                    <a:blip r:embed="rId43"/>
                    <a:stretch>
                      <a:fillRect/>
                    </a:stretch>
                  </pic:blipFill>
                  <pic:spPr bwMode="auto">
                    <a:xfrm>
                      <a:off x="0" y="0"/>
                      <a:ext cx="2971800" cy="1703070"/>
                    </a:xfrm>
                    <a:prstGeom prst="rect">
                      <a:avLst/>
                    </a:prstGeom>
                    <a:noFill/>
                    <a:ln w="9525">
                      <a:noFill/>
                      <a:headEnd/>
                      <a:tailEnd/>
                    </a:ln>
                  </pic:spPr>
                </pic:pic>
              </a:graphicData>
            </a:graphic>
          </wp:inline>
        </w:drawing>
      </w:r>
    </w:p>
    <w:bookmarkEnd w:id="46"/>
    <w:bookmarkStart w:id="47" w:name="student-responses"/>
    <w:p>
      <w:pPr>
        <w:pStyle w:val="Heading3"/>
      </w:pPr>
      <w:r>
        <w:t xml:space="preserve">Student Responses</w:t>
      </w:r>
    </w:p>
    <w:p>
      <w:pPr>
        <w:pStyle w:val="FirstParagraph"/>
      </w:pPr>
      <w:r>
        <w:t xml:space="preserve">The volume of the sandbox is 124 cubic feet. Sample response: It is a 10 foot by 5 foot by 2 foot prism and a 6 foot by 2 foot by 2 foot prism, so that’s</w:t>
      </w:r>
      <w:r>
        <w:t xml:space="preserve"> </w:t>
      </w:r>
      <m:oMath>
        <m:d>
          <m:dPr>
            <m:begChr m:val="("/>
            <m:endChr m:val=")"/>
            <m:sepChr m:val=""/>
            <m:grow/>
          </m:dPr>
          <m:e>
            <m:r>
              <m:t>10</m:t>
            </m:r>
            <m:r>
              <m:rPr>
                <m:sty m:val="p"/>
              </m:rPr>
              <m:t>×</m:t>
            </m:r>
            <m:r>
              <m:t>5</m:t>
            </m:r>
            <m:r>
              <m:rPr>
                <m:sty m:val="p"/>
              </m:rPr>
              <m:t>×</m:t>
            </m:r>
            <m:r>
              <m:t>2</m:t>
            </m:r>
          </m:e>
        </m:d>
        <m:r>
          <m:rPr>
            <m:sty m:val="p"/>
          </m:rPr>
          <m:t>+</m:t>
        </m:r>
        <m:d>
          <m:dPr>
            <m:begChr m:val="("/>
            <m:endChr m:val=")"/>
            <m:sepChr m:val=""/>
            <m:grow/>
          </m:dPr>
          <m:e>
            <m:r>
              <m:t>6</m:t>
            </m:r>
            <m:r>
              <m:rPr>
                <m:sty m:val="p"/>
              </m:rPr>
              <m:t>×</m:t>
            </m:r>
            <m:r>
              <m:t>2</m:t>
            </m:r>
            <m:r>
              <m:rPr>
                <m:sty m:val="p"/>
              </m:rPr>
              <m:t>×</m:t>
            </m:r>
            <m:r>
              <m:t>2</m:t>
            </m:r>
          </m:e>
        </m:d>
      </m:oMath>
      <w:r>
        <w:t xml:space="preserve"> </w:t>
      </w:r>
      <w:r>
        <w:t xml:space="preserve">cubic feet.</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2022-12-15T00:45:57Z</dcterms:created>
  <dcterms:modified xsi:type="dcterms:W3CDTF">2022-12-15T00:45:57Z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zGQ8NrNQ7WE8/dXZ9SEApT0ZZUpzvMvYqQG0Zadw45LoYHlv39gVPPkZdsekRSzNBPEczGc2lsMsi1EV03/gzw==</vt:lpwstr>
  </property>
</Properties>
</file>