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Xf38ccb9502712f1b43c5d344bc91314fdb01470"/>
    <w:p>
      <w:pPr>
        <w:pStyle w:val="Heading1"/>
      </w:pPr>
      <w:r>
        <w:t xml:space="preserve">Lesson 12: Rectángulos que tienen la misma área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Draw rectangles with the same area and different perimeters.</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rectángulos que tienen la misma área.</w:t>
      </w:r>
    </w:p>
    <w:bookmarkEnd w:id="25"/>
    <w:bookmarkStart w:id="26" w:name="lesson-purpose"/>
    <w:p>
      <w:pPr>
        <w:pStyle w:val="Heading3"/>
      </w:pPr>
      <w:r>
        <w:t xml:space="preserve">Lesson Purpose</w:t>
      </w:r>
    </w:p>
    <w:p>
      <w:pPr>
        <w:pStyle w:val="FirstParagraph"/>
      </w:pPr>
      <w:r>
        <w:t xml:space="preserve">The purpose of this lesson is for students to understand that rectangles with the same area do not always have the same perimeter.</w:t>
      </w:r>
    </w:p>
    <w:p>
      <w:pPr>
        <w:pStyle w:val="BodyText"/>
      </w:pPr>
      <w:r>
        <w:t xml:space="preserve">In previous lessons, students learned to find the area and perimeter of rectangles and saw that rectangles with the same perimeter do not always have the same area. In this lesson, students draw rectangles with a specified area, find their perimeters, and notice that rectangles with the same area do not always have the same perimeter. Students then draw rectangles with specific areas that have different perimeters.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Scissors: Activity 2</w:t>
      </w:r>
    </w:p>
    <w:p>
      <w:pPr>
        <w:numPr>
          <w:ilvl w:val="0"/>
          <w:numId w:val="1005"/>
        </w:numPr>
        <w:pStyle w:val="Compact"/>
      </w:pPr>
      <w:r>
        <w:t xml:space="preserve">Tape: Activity 2</w:t>
      </w:r>
    </w:p>
    <w:bookmarkEnd w:id="37"/>
    <w:bookmarkStart w:id="38" w:name="materials-to-copy"/>
    <w:p>
      <w:pPr>
        <w:pStyle w:val="Heading3"/>
      </w:pPr>
      <w:r>
        <w:t xml:space="preserve">Materials to Copy</w:t>
      </w:r>
    </w:p>
    <w:p>
      <w:pPr>
        <w:numPr>
          <w:ilvl w:val="0"/>
          <w:numId w:val="1006"/>
        </w:numPr>
        <w:pStyle w:val="Compact"/>
      </w:pPr>
      <w:r>
        <w:t xml:space="preserve">Square Dot Paper Standard (groups of 1):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How is students’ prior understanding of area informing their understanding of perimeter and area as separate measurements of shapes?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Área de 36</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3.MD.D.8</w:t>
            </w:r>
          </w:p>
        </w:tc>
      </w:tr>
    </w:tbl>
    <w:bookmarkEnd w:id="45"/>
    <w:bookmarkStart w:id="49" w:name="student-facing-task-statement"/>
    <w:p>
      <w:pPr>
        <w:pStyle w:val="Heading3"/>
      </w:pPr>
      <w:r>
        <w:t xml:space="preserve">Student-facing Task Statement</w:t>
      </w:r>
    </w:p>
    <w:p>
      <w:pPr>
        <w:pStyle w:val="FirstParagraph"/>
      </w:pPr>
      <w:r>
        <w:t xml:space="preserve">Dibuja dos rectángulos que tengan ambos un área de 36 unidades cuadradas, pero que tengan perímetros diferentes. Explica o muestra cómo razonaste.</w:t>
      </w:r>
    </w:p>
    <w:p>
      <w:pPr>
        <w:pStyle w:val="BodyText"/>
      </w:pPr>
      <w:r>
        <w:drawing>
          <wp:inline>
            <wp:extent cx="4370603" cy="3290608"/>
            <wp:effectExtent b="0" l="0" r="0" t="0"/>
            <wp:docPr descr="" title="" id="47" name="Picture"/>
            <a:graphic>
              <a:graphicData uri="http://schemas.openxmlformats.org/drawingml/2006/picture">
                <pic:pic>
                  <pic:nvPicPr>
                    <pic:cNvPr descr="/app/tmp/embedder-1671062958.150548.png" id="48" name="Picture"/>
                    <pic:cNvPicPr>
                      <a:picLocks noChangeArrowheads="1" noChangeAspect="1"/>
                    </pic:cNvPicPr>
                  </pic:nvPicPr>
                  <pic:blipFill>
                    <a:blip r:embed="rId46"/>
                    <a:stretch>
                      <a:fillRect/>
                    </a:stretch>
                  </pic:blipFill>
                  <pic:spPr bwMode="auto">
                    <a:xfrm>
                      <a:off x="0" y="0"/>
                      <a:ext cx="4370603" cy="3290608"/>
                    </a:xfrm>
                    <a:prstGeom prst="rect">
                      <a:avLst/>
                    </a:prstGeom>
                    <a:noFill/>
                    <a:ln w="9525">
                      <a:noFill/>
                      <a:headEnd/>
                      <a:tailEnd/>
                    </a:ln>
                  </pic:spPr>
                </pic:pic>
              </a:graphicData>
            </a:graphic>
          </wp:inline>
        </w:drawing>
      </w:r>
    </w:p>
    <w:bookmarkEnd w:id="49"/>
    <w:bookmarkStart w:id="50" w:name="student-responses"/>
    <w:p>
      <w:pPr>
        <w:pStyle w:val="Heading3"/>
      </w:pPr>
      <w:r>
        <w:t xml:space="preserve">Student Responses</w:t>
      </w:r>
    </w:p>
    <w:p>
      <w:pPr>
        <w:pStyle w:val="FirstParagraph"/>
      </w:pPr>
      <w:r>
        <w:t xml:space="preserve">Sample response: Students draw rectangles that are 6 by 6 (perimeter: 24 units), 9 by 4 (perimeter: 26 units), 12 by 3 (perimeter: 30 units), or 18 by 2 (perimeter: 40 units), and explain how the area is the same but the perimeter is different.</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2022-12-15T00:09:18Z</dcterms:created>
  <dcterms:modified xsi:type="dcterms:W3CDTF">2022-12-15T00:09:18Z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KXfukFiaT6w09KlEUT2Lib1YbUTa1TRCKu2prTxtaa4Nc6vJNBK38fEQCloAWafhhLAUws5faVmvZ0zdSGJq8w==</vt:lpwstr>
  </property>
</Properties>
</file>