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9-compare-story-problems"/>
    <w:p>
      <w:pPr>
        <w:pStyle w:val="Heading1"/>
      </w:pPr>
      <w:r>
        <w:t xml:space="preserve">Lesson 9: Compare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1.OA.B.3,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Put Together/Take Apart problems with the result, one addend, or both addends unknown.</w:t>
      </w:r>
    </w:p>
    <w:p>
      <w:pPr>
        <w:numPr>
          <w:ilvl w:val="0"/>
          <w:numId w:val="1001"/>
        </w:numPr>
        <w:pStyle w:val="Compact"/>
      </w:pPr>
      <w:r>
        <w:t xml:space="preserve">Write an equation that matches the story problem, and put a box around the unknown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and write equations.</w:t>
      </w:r>
    </w:p>
    <w:bookmarkEnd w:id="25"/>
    <w:bookmarkStart w:id="26" w:name="lesson-purpose"/>
    <w:p>
      <w:pPr>
        <w:pStyle w:val="Heading3"/>
      </w:pPr>
      <w:r>
        <w:t xml:space="preserve">Lesson Purpose</w:t>
      </w:r>
    </w:p>
    <w:p>
      <w:pPr>
        <w:pStyle w:val="FirstParagraph"/>
      </w:pPr>
      <w:r>
        <w:t xml:space="preserve">The purpose of this lesson is for students to solve the different Put Together/Take Apart story problems that have been introduced so far.</w:t>
      </w:r>
    </w:p>
    <w:p>
      <w:pPr>
        <w:pStyle w:val="BodyText"/>
      </w:pPr>
      <w:r>
        <w:t xml:space="preserve">Students write equations that match the story problem, identifying where the answer to the question is in the equation. Students should have access to connecting cubes or two-color counters. In Activity 1, students work with partners to solve a story problem and write an equation. During Activity 2, students do a gallery walk within their group and compare story problems, methods for solving the problems, and equations that represent the problems.</w:t>
      </w:r>
    </w:p>
    <w:p>
      <w:pPr>
        <w:pStyle w:val="BodyText"/>
      </w:pPr>
      <w:r>
        <w:t xml:space="preserve">Students do not need to master representing and solving these problem types until the end of grade 2, so the important part of this lesson is that students can make sense of the story problem and explain how their equation matches the problem.</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MLR2 Collect and Display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Connecting cubes or two-color counters: Activity 1</w:t>
      </w:r>
    </w:p>
    <w:p>
      <w:pPr>
        <w:numPr>
          <w:ilvl w:val="0"/>
          <w:numId w:val="1005"/>
        </w:numPr>
        <w:pStyle w:val="Compact"/>
      </w:pPr>
      <w:r>
        <w:t xml:space="preserve">Materials from a previous activity: Activity 2</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Retell the story. </w:t>
      </w:r>
    </w:p>
    <w:p>
      <w:pPr>
        <w:numPr>
          <w:ilvl w:val="0"/>
          <w:numId w:val="1006"/>
        </w:numPr>
        <w:pStyle w:val="Compact"/>
      </w:pPr>
      <w:r>
        <w:t xml:space="preserve">Represent the story with objects or drawings.</w:t>
      </w:r>
    </w:p>
    <w:p>
      <w:pPr>
        <w:numPr>
          <w:ilvl w:val="0"/>
          <w:numId w:val="1006"/>
        </w:numPr>
        <w:pStyle w:val="Compact"/>
      </w:pPr>
      <w:r>
        <w:t xml:space="preserve">Explain how their representation matches the story. </w:t>
      </w:r>
    </w:p>
    <w:p>
      <w:pPr>
        <w:numPr>
          <w:ilvl w:val="0"/>
          <w:numId w:val="1006"/>
        </w:numPr>
        <w:pStyle w:val="Compact"/>
      </w:pPr>
      <w:r>
        <w:t xml:space="preserve">Answer the question correctly.</w:t>
      </w:r>
    </w:p>
    <w:p>
      <w:pPr>
        <w:numPr>
          <w:ilvl w:val="0"/>
          <w:numId w:val="1006"/>
        </w:numPr>
        <w:pStyle w:val="Compact"/>
      </w:pPr>
      <w:r>
        <w:t xml:space="preserve">Represent the story with equations.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2022-12-14T11:06:24Z</dcterms:created>
  <dcterms:modified xsi:type="dcterms:W3CDTF">2022-12-14T11:06:24Z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tpjyOrRC6k5DpPbXGXRMykaBRrDthcxK62uozVg/DimSnLdj2MoSE4ZAVclIEGCif2k/NvkPkVFu4U29LDANdA==</vt:lpwstr>
  </property>
</Properties>
</file>