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21</w:t>
      </w:r>
      <w:r>
        <w:t xml:space="preserve">CC BY NC 2024 Illustrative Mathematics®</w:t>
      </w:r>
    </w:p>
    <w:p>
      <w:pPr>
        <w:pStyle w:val="BodyText"/>
      </w:pPr>
      <w:r>
        <w:t xml:space="preserve">Unit 6, Lesson 21</w:t>
      </w:r>
    </w:p>
    <w:bookmarkStart w:id="31" w:name="lesson-544290"/>
    <w:p>
      <w:pPr>
        <w:pStyle w:val="Heading1"/>
      </w:pPr>
      <w:r>
        <w:t xml:space="preserve"> </w:t>
      </w:r>
      <w:r>
        <w:t xml:space="preserve">Center Day 4</w:t>
      </w:r>
    </w:p>
    <w:p>
      <w:pPr>
        <w:numPr>
          <w:ilvl w:val="0"/>
          <w:numId w:val="1001"/>
        </w:numPr>
        <w:pStyle w:val="Compact"/>
      </w:pPr>
      <w:r>
        <w:t xml:space="preserve">Let’s compare coin collections and work with shapes.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21</w:t>
      </w:r>
      <w:r>
        <w:t xml:space="preserve">CC BY NC 2024 Illustrative Mathematics®</w:t>
      </w:r>
    </w:p>
    <w:bookmarkStart w:id="20" w:name="activity-544291"/>
    <w:p>
      <w:pPr>
        <w:pStyle w:val="Heading2"/>
      </w:pPr>
      <w:r>
        <w:t xml:space="preserve">Warm-up</w:t>
      </w:r>
      <w:r>
        <w:t xml:space="preserve"> </w:t>
      </w:r>
      <w:r>
        <w:t xml:space="preserve">Number Talk: Coin Counting Connections</w:t>
      </w:r>
      <w:r>
        <w:t xml:space="preserve"> 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7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21</w:t>
      </w:r>
      <w:r>
        <w:t xml:space="preserve">CC BY NC 2024 Illustrative Mathematics®</w:t>
      </w:r>
    </w:p>
    <w:bookmarkStart w:id="30" w:name="activity-544294"/>
    <w:p>
      <w:pPr>
        <w:pStyle w:val="Heading2"/>
      </w:pPr>
      <w:r>
        <w:t xml:space="preserve">Activity 2</w:t>
      </w:r>
      <w:r>
        <w:t xml:space="preserve"> </w:t>
      </w:r>
      <w:r>
        <w:t xml:space="preserve">Centers: Choice Time</w:t>
      </w:r>
      <w:r>
        <w:t xml:space="preserve"> 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Would You Rather?</w:t>
      </w:r>
    </w:p>
    <w:p>
      <w:pPr>
        <w:pStyle w:val="BodyText"/>
      </w:pPr>
      <w:r>
        <w:drawing>
          <wp:inline>
            <wp:extent cx="2822713" cy="4308995"/>
            <wp:effectExtent b="0" l="0" r="0" t="0"/>
            <wp:docPr descr="Student thinking." title="" id="22" name="Picture"/>
            <a:graphic>
              <a:graphicData uri="http://schemas.openxmlformats.org/drawingml/2006/picture">
                <pic:pic>
                  <pic:nvPicPr>
                    <pic:cNvPr descr="/app/tmp/embedder-1732020750.78783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Are They the Same?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Center. How Are They the Same." title="" id="25" name="Picture"/>
            <a:graphic>
              <a:graphicData uri="http://schemas.openxmlformats.org/drawingml/2006/picture">
                <pic:pic>
                  <pic:nvPicPr>
                    <pic:cNvPr descr="/app/tmp/embedder-1732020750.8369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Center. Picture Books." title="" id="28" name="Picture"/>
            <a:graphic>
              <a:graphicData uri="http://schemas.openxmlformats.org/drawingml/2006/picture">
                <pic:pic>
                  <pic:nvPicPr>
                    <pic:cNvPr descr="/app/tmp/embedder-1732020750.86728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2024-11-19T12:52:31Z</dcterms:created>
  <dcterms:modified xsi:type="dcterms:W3CDTF">2024-11-19T12:52:31Z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