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en-dónde-están-las-matemáticas"/>
    <w:p>
      <w:pPr>
        <w:pStyle w:val="Heading1"/>
      </w:pPr>
      <w:r>
        <w:t xml:space="preserve">Lesson 9: ¿En dónde están las matemáticas?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K.MD, K.OA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Ask and answer mathematical questions about the community.</w:t>
      </w:r>
    </w:p>
    <w:bookmarkEnd w:id="24"/>
    <w:bookmarkStart w:id="25" w:name="student-facing-learning-goals"/>
    <w:p>
      <w:pPr>
        <w:pStyle w:val="Heading3"/>
      </w:pPr>
      <w:r>
        <w:t xml:space="preserve">Student-facing Learning Goals</w:t>
      </w:r>
    </w:p>
    <w:p>
      <w:pPr>
        <w:numPr>
          <w:ilvl w:val="0"/>
          <w:numId w:val="1002"/>
        </w:numPr>
        <w:pStyle w:val="Compact"/>
      </w:pPr>
      <w:r>
        <w:t xml:space="preserve">Hagamos y respondamos preguntas matemáticas sobre nuestra comunidad escolar.</w:t>
      </w:r>
    </w:p>
    <w:bookmarkEnd w:id="25"/>
    <w:bookmarkStart w:id="26" w:name="lesson-purpose"/>
    <w:p>
      <w:pPr>
        <w:pStyle w:val="Heading3"/>
      </w:pPr>
      <w:r>
        <w:t xml:space="preserve">Lesson Purpose</w:t>
      </w:r>
    </w:p>
    <w:p>
      <w:pPr>
        <w:pStyle w:val="FirstParagraph"/>
      </w:pPr>
      <w:r>
        <w:t xml:space="preserve">The purpose of this lesson is for students to ask and answer mathematical questions about their school community.</w:t>
      </w:r>
    </w:p>
    <w:p>
      <w:pPr>
        <w:pStyle w:val="BodyText"/>
      </w:pPr>
      <w:r>
        <w:t xml:space="preserve">Students take a walk around the school and develop mathematical questions about their school community. The walk can focus on one particular area of the school or the surrounding community. Then students choose a question to answer. They make a plan of how to answer the question with their partner and determine which tools they will need to answer the question. These activities can happen over the course of two days to allow students time to answer multiple questions.</w:t>
      </w:r>
    </w:p>
    <w:p>
      <w:pPr>
        <w:pStyle w:val="BodyText"/>
      </w:pPr>
      <w:r>
        <w:t xml:space="preserve">If students need additional support with the concepts in this lesson, refer back to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Clipboards: Activity 1</w:t>
      </w:r>
    </w:p>
    <w:p>
      <w:pPr>
        <w:numPr>
          <w:ilvl w:val="0"/>
          <w:numId w:val="1005"/>
        </w:numPr>
        <w:pStyle w:val="Compact"/>
      </w:pPr>
      <w:r>
        <w:t xml:space="preserve">Connecting cubes: Activity 2</w:t>
      </w:r>
    </w:p>
    <w:p>
      <w:pPr>
        <w:numPr>
          <w:ilvl w:val="0"/>
          <w:numId w:val="1005"/>
        </w:numPr>
        <w:pStyle w:val="Compact"/>
      </w:pPr>
      <w:r>
        <w:t xml:space="preserve">Geoblocks: Activity 2</w:t>
      </w:r>
    </w:p>
    <w:p>
      <w:pPr>
        <w:numPr>
          <w:ilvl w:val="0"/>
          <w:numId w:val="1005"/>
        </w:numPr>
        <w:pStyle w:val="Compact"/>
      </w:pPr>
      <w:r>
        <w:t xml:space="preserve">Paper: Activity 1</w:t>
      </w:r>
    </w:p>
    <w:p>
      <w:pPr>
        <w:numPr>
          <w:ilvl w:val="0"/>
          <w:numId w:val="1005"/>
        </w:numPr>
        <w:pStyle w:val="Compact"/>
      </w:pPr>
      <w:r>
        <w:t xml:space="preserve">Pattern blocks: Activity 2</w:t>
      </w:r>
    </w:p>
    <w:p>
      <w:pPr>
        <w:numPr>
          <w:ilvl w:val="0"/>
          <w:numId w:val="1005"/>
        </w:numPr>
        <w:pStyle w:val="Compact"/>
      </w:pPr>
      <w:r>
        <w:t xml:space="preserve">Solid shapes: Activity 2</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MP1 asks students to make sense of problems and persevere in solving them. MP5 asks students to use appropriate tools strategically. Where did you see evidence of students engaging in these mathematical practices throughout the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B</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read, and write numbers up to 20.</w:t>
      </w:r>
    </w:p>
    <w:p>
      <w:pPr>
        <w:numPr>
          <w:ilvl w:val="0"/>
          <w:numId w:val="1006"/>
        </w:numPr>
        <w:pStyle w:val="Compact"/>
      </w:pPr>
      <w:r>
        <w:t xml:space="preserve">Use objects, drawings, numbers, words, and expressions or equations to represent quantities up to 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2022-12-14T22:51:41Z</dcterms:created>
  <dcterms:modified xsi:type="dcterms:W3CDTF">2022-12-14T22:51:41Z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4wKgNQMeI94BIUwHB/9nHrDhRX0TYcUvNnKi2QQSfEPHBuVsb5bbg8TF7xlWm0t2iQk8+wfrmDSz+EepcB1/Hg==</vt:lpwstr>
  </property>
</Properties>
</file>