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8a639ce980228cfe45df4845b2b8fa006ef4948"/>
    <w:p>
      <w:pPr>
        <w:pStyle w:val="Heading1"/>
      </w:pPr>
      <w:r>
        <w:t xml:space="preserve">Lesson 19: Flexibilidad con fracciones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4.NF.B.3.c, 4.NF.B.3.d, 4.NF.B.4, 4.NF.C.5</w:t>
            </w:r>
          </w:p>
        </w:tc>
      </w:tr>
      <w:tr>
        <w:tc>
          <w:tcPr/>
          <w:p>
            <w:pPr>
              <w:pStyle w:val="Compact"/>
              <w:jc w:val="left"/>
            </w:pPr>
            <w:r>
              <w:t xml:space="preserve">Building Towards</w:t>
            </w:r>
          </w:p>
        </w:tc>
        <w:tc>
          <w:tcPr/>
          <w:p>
            <w:pPr>
              <w:pStyle w:val="Compact"/>
              <w:jc w:val="left"/>
            </w:pPr>
            <w:r>
              <w:t xml:space="preserve">4.NF.B.3.d, 4.NF.B.4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and solve problems that involve the addition, subtraction, and multiplication of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todo tipo de problemas en los que hay fracciones.</w:t>
      </w:r>
    </w:p>
    <w:bookmarkEnd w:id="25"/>
    <w:bookmarkStart w:id="26" w:name="lesson-purpose"/>
    <w:p>
      <w:pPr>
        <w:pStyle w:val="Heading3"/>
      </w:pPr>
      <w:r>
        <w:t xml:space="preserve">Lesson Purpose</w:t>
      </w:r>
    </w:p>
    <w:p>
      <w:pPr>
        <w:pStyle w:val="FirstParagraph"/>
      </w:pPr>
      <w:r>
        <w:t xml:space="preserve">The purpose of this lesson is for students to interpret and solve problems that involve adding, subtracting, and multiplying fractions.</w:t>
      </w:r>
    </w:p>
    <w:p>
      <w:pPr>
        <w:pStyle w:val="BodyText"/>
      </w:pPr>
      <w:r>
        <w:t xml:space="preserve">This optional lesson gives students additional opportunities to integrate and apply the work from this unit to solve novel contextual problems. All three activities prompt students to make sense of and persevere in solving problems that involve adding, subtracting, and multiplying fractions. In the first two activities, students think abstractly and quantitatively to relate their calculations to a situation (MP2). The last activity encourages students to identify structure in expressions with many different operations involving fractions (MP7).</w:t>
      </w:r>
    </w:p>
    <w:p>
      <w:pPr>
        <w:pStyle w:val="BodyText"/>
      </w:pPr>
      <w:r>
        <w:t xml:space="preserve">Completing all three activities will take more than 60 minutes. Consider expanding the lesson across 2 days or selecting one or two activities based on students' needs or interests and time constraints.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MLR6 Three Reads (Activity 2), Notice and Wonder (Warm-up)</w:t>
      </w:r>
    </w:p>
    <w:bookmarkEnd w:id="32"/>
    <w:bookmarkStart w:id="33" w:name="materials-to-gather"/>
    <w:p>
      <w:pPr>
        <w:pStyle w:val="Heading3"/>
      </w:pPr>
      <w:r>
        <w:t xml:space="preserve">Materials to Gather</w:t>
      </w:r>
    </w:p>
    <w:p>
      <w:pPr>
        <w:numPr>
          <w:ilvl w:val="0"/>
          <w:numId w:val="1004"/>
        </w:numPr>
        <w:pStyle w:val="Compact"/>
      </w:pPr>
      <w:r>
        <w:t xml:space="preserve">Rulers (inches): Activity 1</w:t>
      </w:r>
    </w:p>
    <w:p>
      <w:pPr>
        <w:numPr>
          <w:ilvl w:val="0"/>
          <w:numId w:val="1004"/>
        </w:numPr>
        <w:pStyle w:val="Compact"/>
      </w:pPr>
      <w:r>
        <w:t xml:space="preserve">Sticky notes: Activity 1</w:t>
      </w:r>
    </w:p>
    <w:p>
      <w:pPr>
        <w:numPr>
          <w:ilvl w:val="0"/>
          <w:numId w:val="1004"/>
        </w:numPr>
        <w:pStyle w:val="Compact"/>
      </w:pPr>
      <w:r>
        <w:t xml:space="preserve">Tools for creating a visual display: Activity 3</w:t>
      </w:r>
    </w:p>
    <w:bookmarkEnd w:id="33"/>
    <w:bookmarkStart w:id="34" w:name="materials-to-copy"/>
    <w:p>
      <w:pPr>
        <w:pStyle w:val="Heading3"/>
      </w:pPr>
      <w:r>
        <w:t xml:space="preserve">Materials to Copy</w:t>
      </w:r>
    </w:p>
    <w:p>
      <w:pPr>
        <w:numPr>
          <w:ilvl w:val="0"/>
          <w:numId w:val="1005"/>
        </w:numPr>
        <w:pStyle w:val="Compact"/>
      </w:pPr>
      <w:r>
        <w:t xml:space="preserve">Find a Match (groups of 24): Activity 3</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What evidence did you see of students thinking flexibly and choosing a method strategically as they worked to solve problems? For students who chose a fixed way of reasoning about fractional amounts, what questions could you ask to prompt them to be more strategic?</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diseño de Han</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4.NF.B.3.d, 4.NF.B.4</w:t>
            </w:r>
          </w:p>
        </w:tc>
      </w:tr>
    </w:tbl>
    <w:bookmarkEnd w:id="41"/>
    <w:bookmarkStart w:id="45" w:name="student-facing-task-statement"/>
    <w:p>
      <w:pPr>
        <w:pStyle w:val="Heading3"/>
      </w:pPr>
      <w:r>
        <w:t xml:space="preserve">Student-facing Task Statement</w:t>
      </w:r>
    </w:p>
    <w:p>
      <w:pPr>
        <w:pStyle w:val="FirstParagraph"/>
      </w:pPr>
      <w:r>
        <w:t xml:space="preserve">Han usa notas adhesivas pequeñas para armar una figura en forma de H y decorar un cuaderno de 6 pulgadas de ancho y 9 pulgadas de alto. Este es su diseño. </w:t>
      </w:r>
    </w:p>
    <w:p>
      <w:pPr>
        <w:pStyle w:val="BodyText"/>
      </w:pPr>
      <w:r>
        <w:drawing>
          <wp:inline>
            <wp:extent cx="1485900" cy="1371600"/>
            <wp:effectExtent b="0" l="0" r="0" t="0"/>
            <wp:docPr descr="Sticky notes shaping the capital letter H. 5 sticky notes each set horizontally to form the left and right columns. 2 sticky note set set horizontally in between the two columns on the third row." title="" id="43" name="Picture"/>
            <a:graphic>
              <a:graphicData uri="http://schemas.openxmlformats.org/drawingml/2006/picture">
                <pic:pic>
                  <pic:nvPicPr>
                    <pic:cNvPr descr="/app/tmp/embedder-1671063679.9963953.png" id="44" name="Picture"/>
                    <pic:cNvPicPr>
                      <a:picLocks noChangeArrowheads="1" noChangeAspect="1"/>
                    </pic:cNvPicPr>
                  </pic:nvPicPr>
                  <pic:blipFill>
                    <a:blip r:embed="rId42"/>
                    <a:stretch>
                      <a:fillRect/>
                    </a:stretch>
                  </pic:blipFill>
                  <pic:spPr bwMode="auto">
                    <a:xfrm>
                      <a:off x="0" y="0"/>
                      <a:ext cx="1485900" cy="1371600"/>
                    </a:xfrm>
                    <a:prstGeom prst="rect">
                      <a:avLst/>
                    </a:prstGeom>
                    <a:noFill/>
                    <a:ln w="9525">
                      <a:noFill/>
                      <a:headEnd/>
                      <a:tailEnd/>
                    </a:ln>
                  </pic:spPr>
                </pic:pic>
              </a:graphicData>
            </a:graphic>
          </wp:inline>
        </w:drawing>
      </w:r>
    </w:p>
    <w:p>
      <w:pPr>
        <w:pStyle w:val="BodyText"/>
      </w:pPr>
      <w:r>
        <w:t xml:space="preserve">El lado más largo de la nota adhesiva mide </w:t>
      </w:r>
      <m:oMath>
        <m:f>
          <m:fPr>
            <m:type m:val="bar"/>
          </m:fPr>
          <m:num>
            <m:r>
              <m:t>15</m:t>
            </m:r>
          </m:num>
          <m:den>
            <m:r>
              <m:t>8</m:t>
            </m:r>
          </m:den>
        </m:f>
      </m:oMath>
      <w:r>
        <w:t xml:space="preserve"> pulgadas. El lado más corto mide </w:t>
      </w:r>
      <m:oMath>
        <m:f>
          <m:fPr>
            <m:type m:val="bar"/>
          </m:fPr>
          <m:num>
            <m:r>
              <m:t>11</m:t>
            </m:r>
          </m:num>
          <m:den>
            <m:r>
              <m:t>8</m:t>
            </m:r>
          </m:den>
        </m:f>
      </m:oMath>
      <w:r>
        <w:t xml:space="preserve"> pulgadas.</w:t>
      </w:r>
    </w:p>
    <w:p>
      <w:pPr>
        <w:pStyle w:val="BodyText"/>
      </w:pPr>
      <w:r>
        <w:t xml:space="preserve">¿El cuaderno tiene la altura suficiente para su diseño? Muestra tu razonamiento.</w:t>
      </w:r>
    </w:p>
    <w:bookmarkEnd w:id="45"/>
    <w:bookmarkStart w:id="46" w:name="student-responses"/>
    <w:p>
      <w:pPr>
        <w:pStyle w:val="Heading3"/>
      </w:pPr>
      <w:r>
        <w:t xml:space="preserve">Student Responses</w:t>
      </w:r>
    </w:p>
    <w:p>
      <w:pPr>
        <w:pStyle w:val="FirstParagraph"/>
      </w:pPr>
      <w:r>
        <w:t xml:space="preserve">Yes. Sample response: The H shape is</w:t>
      </w:r>
      <w:r>
        <w:t xml:space="preserve"> </w:t>
      </w:r>
      <m:oMath>
        <m:r>
          <m:t>5</m:t>
        </m:r>
        <m:r>
          <m:rPr>
            <m:sty m:val="p"/>
          </m:rPr>
          <m:t>×</m:t>
        </m:r>
        <m:f>
          <m:fPr>
            <m:type m:val="bar"/>
          </m:fPr>
          <m:num>
            <m:r>
              <m:t>11</m:t>
            </m:r>
          </m:num>
          <m:den>
            <m:r>
              <m:t>8</m:t>
            </m:r>
          </m:den>
        </m:f>
      </m:oMath>
      <w:r>
        <w:t xml:space="preserve"> </w:t>
      </w:r>
      <w:r>
        <w:t xml:space="preserve">or</w:t>
      </w:r>
      <w:r>
        <w:t xml:space="preserve"> </w:t>
      </w:r>
      <m:oMath>
        <m:f>
          <m:fPr>
            <m:type m:val="bar"/>
          </m:fPr>
          <m:num>
            <m:r>
              <m:t>55</m:t>
            </m:r>
          </m:num>
          <m:den>
            <m:r>
              <m:t>8</m:t>
            </m:r>
          </m:den>
        </m:f>
      </m:oMath>
      <w:r>
        <w:t xml:space="preserve"> </w:t>
      </w:r>
      <w:r>
        <w:t xml:space="preserve">inches tall. The notebook is</w:t>
      </w:r>
      <w:r>
        <w:t xml:space="preserve"> </w:t>
      </w:r>
      <m:oMath>
        <m:r>
          <m:t>9</m:t>
        </m:r>
        <m:r>
          <m:rPr>
            <m:sty m:val="p"/>
          </m:rPr>
          <m:t>×</m:t>
        </m:r>
        <m:f>
          <m:fPr>
            <m:type m:val="bar"/>
          </m:fPr>
          <m:num>
            <m:r>
              <m:t>8</m:t>
            </m:r>
          </m:num>
          <m:den>
            <m:r>
              <m:t>8</m:t>
            </m:r>
          </m:den>
        </m:f>
      </m:oMath>
      <w:r>
        <w:t xml:space="preserve"> </w:t>
      </w:r>
      <w:r>
        <w:t xml:space="preserve">or</w:t>
      </w:r>
      <w:r>
        <w:t xml:space="preserve"> </w:t>
      </w:r>
      <m:oMath>
        <m:f>
          <m:fPr>
            <m:type m:val="bar"/>
          </m:fPr>
          <m:num>
            <m:r>
              <m:t>72</m:t>
            </m:r>
          </m:num>
          <m:den>
            <m:r>
              <m:t>8</m:t>
            </m:r>
          </m:den>
        </m:f>
      </m:oMath>
      <w:r>
        <w:t xml:space="preserve"> </w:t>
      </w:r>
      <w:r>
        <w:t xml:space="preserve">inches tall.</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2022-12-15T00:21:20Z</dcterms:created>
  <dcterms:modified xsi:type="dcterms:W3CDTF">2022-12-15T00:21:20Z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+r3mZA1yxx6uRs1qx+MvH8Er++ooQBiQI7iTIoWLLSLeuaM9Yfo/Q2uibnSWhwN3+MOCbDzKRYumMnZS8YQufw==</vt:lpwstr>
  </property>
</Properties>
</file>