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a98d607de30ef420aaefea60e143305f1dacfc0"/>
    <w:p>
      <w:pPr>
        <w:pStyle w:val="Heading1"/>
      </w:pPr>
      <w:r>
        <w:t xml:space="preserve">Lesson 3: De patrones visuales a patrones numéricos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4.NBT.A.1, 4.OA.B.4</w:t>
            </w:r>
          </w:p>
        </w:tc>
      </w:tr>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patterns represented visually and numerically.</w:t>
      </w:r>
    </w:p>
    <w:p>
      <w:pPr>
        <w:numPr>
          <w:ilvl w:val="0"/>
          <w:numId w:val="1001"/>
        </w:numPr>
        <w:pStyle w:val="Compact"/>
      </w:pPr>
      <w:r>
        <w:t xml:space="preserve">Use numbers, words, and the idea of factors and multiples to describe and extend patterns in the features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Veamos qué patrones numéricos podemos escribir para describir patrones de rectángulos.</w:t>
      </w:r>
    </w:p>
    <w:bookmarkEnd w:id="25"/>
    <w:bookmarkStart w:id="26" w:name="lesson-purpose"/>
    <w:p>
      <w:pPr>
        <w:pStyle w:val="Heading3"/>
      </w:pPr>
      <w:r>
        <w:t xml:space="preserve">Lesson Purpose</w:t>
      </w:r>
    </w:p>
    <w:p>
      <w:pPr>
        <w:pStyle w:val="FirstParagraph"/>
      </w:pPr>
      <w:r>
        <w:t xml:space="preserve">The purpose of this lesson is for students to analyze, describe, and extend numerical patterns that follow a rule.</w:t>
      </w:r>
    </w:p>
    <w:p>
      <w:pPr>
        <w:pStyle w:val="BodyText"/>
      </w:pPr>
      <w:r>
        <w:t xml:space="preserve">Previously, students explored growing and repeating patterns and reasoned about the patterns using words, numbers, and operations. In this lesson, students investigate patterns in a geometric context and explore how the side lengths, area, perimeter, and other features of a rectangle change when the rectangle changes by a rule. In doing so, students practice looking for and making use of structure (MP7).</w:t>
      </w:r>
    </w:p>
    <w:p>
      <w:pPr>
        <w:pStyle w:val="BodyText"/>
      </w:pPr>
      <w:r>
        <w:t xml:space="preserve">Students also practice reasoning quantitatively and abstractly (MP2) as they interpret the values in number sequences that represent geometric features of rectangles, and vice versa. (For example, 6, 8, 10, 12, . . . may represent the area, in square centimeters, of a series of rectangles whose width is 2 centimeters and whose length grows by 1 centimeter each time.)</w:t>
      </w:r>
    </w:p>
    <w:p>
      <w:pPr>
        <w:pStyle w:val="BodyText"/>
      </w:pPr>
      <w:r>
        <w:t xml:space="preserve">The second activity in this lesson is optional as it allows students more time to work with the ideas from the first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3)</w:t>
      </w:r>
    </w:p>
    <w:bookmarkEnd w:id="35"/>
    <w:bookmarkStart w:id="36" w:name="instructional-routines"/>
    <w:p>
      <w:pPr>
        <w:pStyle w:val="Heading3"/>
      </w:pPr>
      <w:r>
        <w:t xml:space="preserve">Instructional Routines</w:t>
      </w:r>
    </w:p>
    <w:p>
      <w:pPr>
        <w:pStyle w:val="FirstParagraph"/>
      </w:pPr>
      <w:r>
        <w:t xml:space="preserve">MLR1 Stronger and Clearer Each Time (Activity 2), MLR3 Clarify, Critique, Correct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Graph 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Otra colección de rectángulos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4"/>
    <w:bookmarkStart w:id="48" w:name="student-facing-task-statement"/>
    <w:p>
      <w:pPr>
        <w:pStyle w:val="Heading3"/>
      </w:pPr>
      <w:r>
        <w:t xml:space="preserve">Student-facing Task Statement</w:t>
      </w:r>
    </w:p>
    <w:p>
      <w:pPr>
        <w:pStyle w:val="FirstParagraph"/>
      </w:pPr>
      <w:r>
        <w:t xml:space="preserve">Estos son los pasos 1 y 3 de un patrón de rectángulos. En este patrón, la longitud de un lado crece 3 centímetros cada vez.</w:t>
      </w:r>
    </w:p>
    <w:p>
      <w:pPr>
        <w:pStyle w:val="BodyText"/>
      </w:pPr>
      <w:r>
        <w:drawing>
          <wp:inline>
            <wp:extent cx="5943600" cy="914400"/>
            <wp:effectExtent b="0" l="0" r="0" t="0"/>
            <wp:docPr descr="pattern of rectangles." title="" id="46" name="Picture"/>
            <a:graphic>
              <a:graphicData uri="http://schemas.openxmlformats.org/drawingml/2006/picture">
                <pic:pic>
                  <pic:nvPicPr>
                    <pic:cNvPr descr="/app/tmp/embedder-1671064440.3772924.png" id="47" name="Picture"/>
                    <pic:cNvPicPr>
                      <a:picLocks noChangeArrowheads="1" noChangeAspect="1"/>
                    </pic:cNvPicPr>
                  </pic:nvPicPr>
                  <pic:blipFill>
                    <a:blip r:embed="rId45"/>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6"/>
        </w:numPr>
        <w:pStyle w:val="Compact"/>
      </w:pPr>
      <w:r>
        <w:t xml:space="preserve">Dibuja los rectángulos que hacen falta en los pasos 2 y 4. Marca los lados con sus longitudes.</w:t>
      </w:r>
    </w:p>
    <w:p>
      <w:pPr>
        <w:numPr>
          <w:ilvl w:val="0"/>
          <w:numId w:val="1006"/>
        </w:numPr>
        <w:pStyle w:val="Compact"/>
      </w:pPr>
      <w:r>
        <w:t xml:space="preserve">Escribe un patrón numérico que represente el patrón de rectángulos. Explica la forma en la que tu patrón numérico representa los rectángulos.</w:t>
      </w:r>
    </w:p>
    <w:p>
      <w:pPr>
        <w:numPr>
          <w:ilvl w:val="0"/>
          <w:numId w:val="1006"/>
        </w:numPr>
        <w:pStyle w:val="Compact"/>
      </w:pPr>
      <w:r>
        <w:t xml:space="preserve">Si el patrón continúa, ¿el número 50 podría representar la longitud de un lado o el área de uno de los rectángulos? Si así es, ¿en cuál paso? Si no, ¿por qué no? Explica o muestra cómo razonaste.</w:t>
      </w:r>
    </w:p>
    <w:bookmarkEnd w:id="48"/>
    <w:bookmarkStart w:id="52" w:name="student-responses"/>
    <w:p>
      <w:pPr>
        <w:pStyle w:val="Heading3"/>
      </w:pPr>
      <w:r>
        <w:t xml:space="preserve">Student Responses</w:t>
      </w:r>
    </w:p>
    <w:p>
      <w:pPr>
        <w:numPr>
          <w:ilvl w:val="0"/>
          <w:numId w:val="1007"/>
        </w:numPr>
        <w:pStyle w:val="Compact"/>
      </w:pPr>
      <w:r>
        <w:t xml:space="preserve">Completed drawing:</w:t>
      </w:r>
    </w:p>
    <w:p>
      <w:pPr>
        <w:numPr>
          <w:ilvl w:val="0"/>
          <w:numId w:val="1000"/>
        </w:numPr>
        <w:pStyle w:val="Compact"/>
      </w:pPr>
      <w:r>
        <w:drawing>
          <wp:inline>
            <wp:extent cx="5943600" cy="914400"/>
            <wp:effectExtent b="0" l="0" r="0" t="0"/>
            <wp:docPr descr="pattern of rectangles" title="" id="50" name="Picture"/>
            <a:graphic>
              <a:graphicData uri="http://schemas.openxmlformats.org/drawingml/2006/picture">
                <pic:pic>
                  <pic:nvPicPr>
                    <pic:cNvPr descr="/app/tmp/embedder-1671064440.4495966.png" id="51" name="Picture"/>
                    <pic:cNvPicPr>
                      <a:picLocks noChangeArrowheads="1" noChangeAspect="1"/>
                    </pic:cNvPicPr>
                  </pic:nvPicPr>
                  <pic:blipFill>
                    <a:blip r:embed="rId49"/>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7"/>
        </w:numPr>
        <w:pStyle w:val="Compact"/>
      </w:pPr>
      <w:r>
        <w:t xml:space="preserve">Sample responses:</w:t>
      </w:r>
    </w:p>
    <w:p>
      <w:pPr>
        <w:numPr>
          <w:ilvl w:val="1"/>
          <w:numId w:val="1008"/>
        </w:numPr>
        <w:pStyle w:val="Compact"/>
      </w:pPr>
      <w:r>
        <w:t xml:space="preserve">Side length: 3, 6, 9, 12, 15, 18</w:t>
      </w:r>
    </w:p>
    <w:p>
      <w:pPr>
        <w:numPr>
          <w:ilvl w:val="1"/>
          <w:numId w:val="1008"/>
        </w:numPr>
        <w:pStyle w:val="Compact"/>
      </w:pPr>
      <w:r>
        <w:t xml:space="preserve">Area: 6, 12, 18, 24, 30, 36</w:t>
      </w:r>
    </w:p>
    <w:p>
      <w:pPr>
        <w:numPr>
          <w:ilvl w:val="1"/>
          <w:numId w:val="1008"/>
        </w:numPr>
        <w:pStyle w:val="Compact"/>
      </w:pPr>
      <w:r>
        <w:t xml:space="preserve">Perimeter: 10, 16, 22, 28, 34, 40</w:t>
      </w:r>
    </w:p>
    <w:p>
      <w:pPr>
        <w:numPr>
          <w:ilvl w:val="0"/>
          <w:numId w:val="1007"/>
        </w:numPr>
        <w:pStyle w:val="Compact"/>
      </w:pPr>
      <w:r>
        <w:t xml:space="preserve">Sample response: No, 50 is not a multiple of 3 so it can’t represent the side length of a rectangle. It is not a multiple of 6, so it cannot represent the area of a rectangle.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2022-12-15T00:34:01Z</dcterms:created>
  <dcterms:modified xsi:type="dcterms:W3CDTF">2022-12-15T00:34:01Z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UCCppzABWiirCl5FjBJplhqzXFW0WpKAxq+DUugDvbN0JOz+XImidW7u/VvddkX+I1sl06DQz5tDJWYinAy+7g==</vt:lpwstr>
  </property>
</Properties>
</file>