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874ee8ce04d57bb0ffbaecb7a3ed6303c1ad994"/>
    <w:p>
      <w:pPr>
        <w:pStyle w:val="Heading1"/>
      </w:pPr>
      <w:r>
        <w:t xml:space="preserve">Lesson 18: Un montón de fracciones para sumar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3.NBT.A.2</w:t>
            </w:r>
          </w:p>
        </w:tc>
      </w:tr>
      <w:tr>
        <w:tc>
          <w:tcPr/>
          <w:p>
            <w:pPr>
              <w:pStyle w:val="Compact"/>
              <w:jc w:val="left"/>
            </w:pPr>
            <w:r>
              <w:t xml:space="preserve">Addressing</w:t>
            </w:r>
          </w:p>
        </w:tc>
        <w:tc>
          <w:tcPr/>
          <w:p>
            <w:pPr>
              <w:pStyle w:val="Compact"/>
              <w:jc w:val="left"/>
            </w:pPr>
            <w:r>
              <w:t xml:space="preserve">4.NF.B.4.c, 4.NF.C.5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sum of three or more tenths and hundredths, using the commutative and associative properties strategically.</w:t>
      </w:r>
    </w:p>
    <w:bookmarkEnd w:id="24"/>
    <w:bookmarkStart w:id="25" w:name="student-facing-learning-goals"/>
    <w:p>
      <w:pPr>
        <w:pStyle w:val="Heading3"/>
      </w:pPr>
      <w:r>
        <w:t xml:space="preserve">Student-facing Learning Goals</w:t>
      </w:r>
    </w:p>
    <w:p>
      <w:pPr>
        <w:numPr>
          <w:ilvl w:val="0"/>
          <w:numId w:val="1002"/>
        </w:numPr>
        <w:pStyle w:val="Compact"/>
      </w:pPr>
      <w:r>
        <w:t xml:space="preserve">Sigamos sumando décimos y centésimos... ahora más de dos a la vez.</w:t>
      </w:r>
    </w:p>
    <w:bookmarkEnd w:id="25"/>
    <w:bookmarkStart w:id="26" w:name="lesson-purpose"/>
    <w:p>
      <w:pPr>
        <w:pStyle w:val="Heading3"/>
      </w:pPr>
      <w:r>
        <w:t xml:space="preserve">Lesson Purpose</w:t>
      </w:r>
    </w:p>
    <w:p>
      <w:pPr>
        <w:pStyle w:val="FirstParagraph"/>
      </w:pPr>
      <w:r>
        <w:t xml:space="preserve">The purpose of this lesson is for students to find the sum of three or more tenths and hundredths.</w:t>
      </w:r>
    </w:p>
    <w:p>
      <w:pPr>
        <w:pStyle w:val="BodyText"/>
      </w:pPr>
      <w:r>
        <w:t xml:space="preserve">Previously, students learned to find sums of fractions with the same denominator and sums of tenths and hundredths. They added two or more tenths and hundredths, applying the commutative and associative properties along the way. This lesson prompts students to apply their understanding and skills to solve problems in context, and to practice finding sums of three or more tenths and hundredths (including mixed numbers).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Chart paper: Activity 2</w:t>
      </w:r>
    </w:p>
    <w:p>
      <w:pPr>
        <w:numPr>
          <w:ilvl w:val="0"/>
          <w:numId w:val="1005"/>
        </w:numPr>
        <w:pStyle w:val="Compact"/>
      </w:pPr>
      <w:r>
        <w:t xml:space="preserve">Coins: Activity 1</w:t>
      </w:r>
    </w:p>
    <w:bookmarkEnd w:id="37"/>
    <w:bookmarkStart w:id="38" w:name="materials-to-copy"/>
    <w:p>
      <w:pPr>
        <w:pStyle w:val="Heading3"/>
      </w:pPr>
      <w:r>
        <w:t xml:space="preserve">Materials to Copy</w:t>
      </w:r>
    </w:p>
    <w:p>
      <w:pPr>
        <w:numPr>
          <w:ilvl w:val="0"/>
          <w:numId w:val="1006"/>
        </w:numPr>
        <w:pStyle w:val="Compact"/>
      </w:pPr>
      <w:r>
        <w:t xml:space="preserve">More Than Two Fractions (groups of 15):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As you finish up this unit, reflect on the norms and activities that have supported each student in learning math. List the ways you have seen each student grow as a young mathematician throughout this work. List the ways you have seen yourself grow as a teacher. What will you continue to do and what will you improve upon in Unit 4?</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Monedas de Estados Unidos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4.NF.C.5</w:t>
            </w:r>
          </w:p>
        </w:tc>
      </w:tr>
    </w:tbl>
    <w:bookmarkEnd w:id="45"/>
    <w:bookmarkStart w:id="46" w:name="student-facing-task-statement"/>
    <w:p>
      <w:pPr>
        <w:pStyle w:val="Heading3"/>
      </w:pPr>
      <w:r>
        <w:t xml:space="preserve">Student-facing Task Statement</w:t>
      </w:r>
    </w:p>
    <w:p>
      <w:pPr>
        <w:pStyle w:val="FirstParagraph"/>
      </w:pPr>
      <w:r>
        <w:t xml:space="preserve">La tabla muestra el grosor de las monedas de Estados Unidos.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moneda</w:t>
            </w:r>
          </w:p>
        </w:tc>
        <w:tc>
          <w:tcPr/>
          <w:p>
            <w:pPr>
              <w:pStyle w:val="Compact"/>
              <w:jc w:val="left"/>
            </w:pPr>
            <w:r>
              <w:t xml:space="preserve">grosor (cm)</w:t>
            </w:r>
          </w:p>
        </w:tc>
      </w:tr>
      <w:tr>
        <w:tc>
          <w:tcPr/>
          <w:p>
            <w:pPr>
              <w:pStyle w:val="Compact"/>
              <w:jc w:val="left"/>
            </w:pPr>
            <w:r>
              <w:t xml:space="preserve">un centavo</w:t>
            </w:r>
          </w:p>
        </w:tc>
        <w:tc>
          <w:tcPr/>
          <w:p>
            <w:pPr>
              <w:pStyle w:val="Compact"/>
              <w:jc w:val="left"/>
            </w:pPr>
            <m:oMath>
              <m:f>
                <m:fPr>
                  <m:type m:val="bar"/>
                </m:fPr>
                <m:num>
                  <m:r>
                    <m:t>15</m:t>
                  </m:r>
                </m:num>
                <m:den>
                  <m:r>
                    <m:t>100</m:t>
                  </m:r>
                </m:den>
              </m:f>
            </m:oMath>
          </w:p>
        </w:tc>
      </w:tr>
      <w:tr>
        <w:tc>
          <w:tcPr/>
          <w:p>
            <w:pPr>
              <w:pStyle w:val="Compact"/>
              <w:jc w:val="left"/>
            </w:pPr>
            <w:r>
              <w:t xml:space="preserve">cinco centavos</w:t>
            </w:r>
          </w:p>
        </w:tc>
        <w:tc>
          <w:tcPr/>
          <w:p>
            <w:pPr>
              <w:pStyle w:val="Compact"/>
              <w:jc w:val="left"/>
            </w:pPr>
            <m:oMath>
              <m:f>
                <m:fPr>
                  <m:type m:val="bar"/>
                </m:fPr>
                <m:num>
                  <m:r>
                    <m:t>2</m:t>
                  </m:r>
                </m:num>
                <m:den>
                  <m:r>
                    <m:t>10</m:t>
                  </m:r>
                </m:den>
              </m:f>
            </m:oMath>
          </w:p>
        </w:tc>
      </w:tr>
      <w:tr>
        <w:tc>
          <w:tcPr/>
          <w:p>
            <w:pPr>
              <w:pStyle w:val="Compact"/>
              <w:jc w:val="left"/>
            </w:pPr>
            <w:r>
              <w:t xml:space="preserve">diez centavos</w:t>
            </w:r>
          </w:p>
        </w:tc>
        <w:tc>
          <w:tcPr/>
          <w:p>
            <w:pPr>
              <w:pStyle w:val="Compact"/>
              <w:jc w:val="left"/>
            </w:pPr>
            <m:oMath>
              <m:f>
                <m:fPr>
                  <m:type m:val="bar"/>
                </m:fPr>
                <m:num>
                  <m:r>
                    <m:t>14</m:t>
                  </m:r>
                </m:num>
                <m:den>
                  <m:r>
                    <m:t>100</m:t>
                  </m:r>
                </m:den>
              </m:f>
            </m:oMath>
          </w:p>
        </w:tc>
      </w:tr>
      <w:tr>
        <w:tc>
          <w:tcPr/>
          <w:p>
            <w:pPr>
              <w:pStyle w:val="Compact"/>
              <w:jc w:val="left"/>
            </w:pPr>
            <w:r>
              <w:t xml:space="preserve">veinticinco centavos</w:t>
            </w:r>
          </w:p>
        </w:tc>
        <w:tc>
          <w:tcPr/>
          <w:p>
            <w:pPr>
              <w:pStyle w:val="Compact"/>
              <w:jc w:val="left"/>
            </w:pPr>
            <m:oMath>
              <m:f>
                <m:fPr>
                  <m:type m:val="bar"/>
                </m:fPr>
                <m:num>
                  <m:r>
                    <m:t>18</m:t>
                  </m:r>
                </m:num>
                <m:den>
                  <m:r>
                    <m:t>100</m:t>
                  </m:r>
                </m:den>
              </m:f>
            </m:oMath>
          </w:p>
        </w:tc>
      </w:tr>
      <w:tr>
        <w:tc>
          <w:tcPr/>
          <w:p>
            <w:pPr>
              <w:pStyle w:val="Compact"/>
              <w:jc w:val="left"/>
            </w:pPr>
            <w:r>
              <w:t xml:space="preserve">cincuenta centavos</w:t>
            </w:r>
          </w:p>
        </w:tc>
        <w:tc>
          <w:tcPr/>
          <w:p>
            <w:pPr>
              <w:pStyle w:val="Compact"/>
              <w:jc w:val="left"/>
            </w:pPr>
            <m:oMath>
              <m:f>
                <m:fPr>
                  <m:type m:val="bar"/>
                </m:fPr>
                <m:num>
                  <m:r>
                    <m:t>22</m:t>
                  </m:r>
                </m:num>
                <m:den>
                  <m:r>
                    <m:t>100</m:t>
                  </m:r>
                </m:den>
              </m:f>
            </m:oMath>
          </w:p>
        </w:tc>
      </w:tr>
      <w:tr>
        <w:tc>
          <w:tcPr/>
          <w:p>
            <w:pPr>
              <w:pStyle w:val="Compact"/>
              <w:jc w:val="left"/>
            </w:pPr>
            <w:r>
              <w:t xml:space="preserve">dólar </w:t>
            </w:r>
          </w:p>
        </w:tc>
        <w:tc>
          <w:tcPr/>
          <w:p>
            <w:pPr>
              <w:pStyle w:val="Compact"/>
              <w:jc w:val="left"/>
            </w:pPr>
            <m:oMath>
              <m:f>
                <m:fPr>
                  <m:type m:val="bar"/>
                </m:fPr>
                <m:num>
                  <m:r>
                    <m:t>2</m:t>
                  </m:r>
                </m:num>
                <m:den>
                  <m:r>
                    <m:t>10</m:t>
                  </m:r>
                </m:den>
              </m:f>
            </m:oMath>
          </w:p>
        </w:tc>
      </w:tr>
    </w:tbl>
    <w:p>
      <w:pPr>
        <w:pStyle w:val="BodyText"/>
      </w:pPr>
      <w:r>
        <w:t xml:space="preserve">Encuentra el grosor total de cada una de estas pilas de monedas:</w:t>
      </w:r>
    </w:p>
    <w:p>
      <w:pPr>
        <w:numPr>
          <w:ilvl w:val="0"/>
          <w:numId w:val="1007"/>
        </w:numPr>
        <w:pStyle w:val="Compact"/>
      </w:pPr>
      <w:r>
        <w:t xml:space="preserve">una moneda de un centavo, una de cinco centavos y una de veinticinco centavos</w:t>
      </w:r>
    </w:p>
    <w:p>
      <w:pPr>
        <w:numPr>
          <w:ilvl w:val="0"/>
          <w:numId w:val="1007"/>
        </w:numPr>
        <w:pStyle w:val="Compact"/>
      </w:pPr>
      <w:r>
        <w:t xml:space="preserve">una moneda de un dólar, una de cincuenta centavos, una de veinticinco centavos y una de diez centavos</w:t>
      </w:r>
    </w:p>
    <w:bookmarkEnd w:id="46"/>
    <w:bookmarkStart w:id="47" w:name="student-responses"/>
    <w:p>
      <w:pPr>
        <w:pStyle w:val="Heading3"/>
      </w:pPr>
      <w:r>
        <w:t xml:space="preserve">Student Responses</w:t>
      </w:r>
    </w:p>
    <w:p>
      <w:pPr>
        <w:numPr>
          <w:ilvl w:val="0"/>
          <w:numId w:val="1008"/>
        </w:numPr>
        <w:pStyle w:val="Compact"/>
      </w:pPr>
      <m:oMath>
        <m:f>
          <m:fPr>
            <m:type m:val="bar"/>
          </m:fPr>
          <m:num>
            <m:r>
              <m:t>53</m:t>
            </m:r>
          </m:num>
          <m:den>
            <m:r>
              <m:t>100</m:t>
            </m:r>
          </m:den>
        </m:f>
      </m:oMath>
      <w:r>
        <w:t xml:space="preserve">. Sample reasoning:</w:t>
      </w:r>
      <w:r>
        <w:t xml:space="preserve"> </w:t>
      </w:r>
      <m:oMath>
        <m:f>
          <m:fPr>
            <m:type m:val="bar"/>
          </m:fPr>
          <m:num>
            <m:r>
              <m:t>15</m:t>
            </m:r>
          </m:num>
          <m:den>
            <m:r>
              <m:t>100</m:t>
            </m:r>
          </m:den>
        </m:f>
        <m:r>
          <m:rPr>
            <m:sty m:val="p"/>
          </m:rPr>
          <m:t>+</m:t>
        </m:r>
        <m:f>
          <m:fPr>
            <m:type m:val="bar"/>
          </m:fPr>
          <m:num>
            <m:r>
              <m:t>2</m:t>
            </m:r>
          </m:num>
          <m:den>
            <m:r>
              <m:t>10</m:t>
            </m:r>
          </m:den>
        </m:f>
        <m:r>
          <m:rPr>
            <m:sty m:val="p"/>
          </m:rPr>
          <m:t>+</m:t>
        </m:r>
        <m:f>
          <m:fPr>
            <m:type m:val="bar"/>
          </m:fPr>
          <m:num>
            <m:r>
              <m:t>18</m:t>
            </m:r>
          </m:num>
          <m:den>
            <m:r>
              <m:t>100</m:t>
            </m:r>
          </m:den>
        </m:f>
        <m:r>
          <m:rPr>
            <m:sty m:val="p"/>
          </m:rPr>
          <m:t>=</m:t>
        </m:r>
        <m:f>
          <m:fPr>
            <m:type m:val="bar"/>
          </m:fPr>
          <m:num>
            <m:r>
              <m:t>33</m:t>
            </m:r>
          </m:num>
          <m:den>
            <m:r>
              <m:t>100</m:t>
            </m:r>
          </m:den>
        </m:f>
        <m:r>
          <m:rPr>
            <m:sty m:val="p"/>
          </m:rPr>
          <m:t>+</m:t>
        </m:r>
        <m:f>
          <m:fPr>
            <m:type m:val="bar"/>
          </m:fPr>
          <m:num>
            <m:r>
              <m:t>20</m:t>
            </m:r>
          </m:num>
          <m:den>
            <m:r>
              <m:t>100</m:t>
            </m:r>
          </m:den>
        </m:f>
        <m:r>
          <m:rPr>
            <m:sty m:val="p"/>
          </m:rPr>
          <m:t>=</m:t>
        </m:r>
        <m:f>
          <m:fPr>
            <m:type m:val="bar"/>
          </m:fPr>
          <m:num>
            <m:r>
              <m:t>53</m:t>
            </m:r>
          </m:num>
          <m:den>
            <m:r>
              <m:t>100</m:t>
            </m:r>
          </m:den>
        </m:f>
      </m:oMath>
    </w:p>
    <w:p>
      <w:pPr>
        <w:numPr>
          <w:ilvl w:val="0"/>
          <w:numId w:val="1008"/>
        </w:numPr>
        <w:pStyle w:val="Compact"/>
      </w:pPr>
      <m:oMath>
        <m:f>
          <m:fPr>
            <m:type m:val="bar"/>
          </m:fPr>
          <m:num>
            <m:r>
              <m:t>74</m:t>
            </m:r>
          </m:num>
          <m:den>
            <m:r>
              <m:t>100</m:t>
            </m:r>
          </m:den>
        </m:f>
      </m:oMath>
      <w:r>
        <w:t xml:space="preserve">. Sample reasoning:</w:t>
      </w:r>
      <w:r>
        <w:t xml:space="preserve"> </w:t>
      </w:r>
      <m:oMath>
        <m:f>
          <m:fPr>
            <m:type m:val="bar"/>
          </m:fPr>
          <m:num>
            <m:r>
              <m:t>2</m:t>
            </m:r>
          </m:num>
          <m:den>
            <m:r>
              <m:t>10</m:t>
            </m:r>
          </m:den>
        </m:f>
        <m:r>
          <m:rPr>
            <m:sty m:val="p"/>
          </m:rPr>
          <m:t>+</m:t>
        </m:r>
        <m:f>
          <m:fPr>
            <m:type m:val="bar"/>
          </m:fPr>
          <m:num>
            <m:r>
              <m:t>22</m:t>
            </m:r>
          </m:num>
          <m:den>
            <m:r>
              <m:t>100</m:t>
            </m:r>
          </m:den>
        </m:f>
        <m:r>
          <m:rPr>
            <m:sty m:val="p"/>
          </m:rPr>
          <m:t>+</m:t>
        </m:r>
        <m:f>
          <m:fPr>
            <m:type m:val="bar"/>
          </m:fPr>
          <m:num>
            <m:r>
              <m:t>18</m:t>
            </m:r>
          </m:num>
          <m:den>
            <m:r>
              <m:t>100</m:t>
            </m:r>
          </m:den>
        </m:f>
        <m:r>
          <m:rPr>
            <m:sty m:val="p"/>
          </m:rPr>
          <m:t>+</m:t>
        </m:r>
        <m:f>
          <m:fPr>
            <m:type m:val="bar"/>
          </m:fPr>
          <m:num>
            <m:r>
              <m:t>14</m:t>
            </m:r>
          </m:num>
          <m:den>
            <m:r>
              <m:t>100</m:t>
            </m:r>
          </m:den>
        </m:f>
        <m:r>
          <m:rPr>
            <m:sty m:val="p"/>
          </m:rPr>
          <m:t>=</m:t>
        </m:r>
        <m:f>
          <m:fPr>
            <m:type m:val="bar"/>
          </m:fPr>
          <m:num>
            <m:r>
              <m:t>20</m:t>
            </m:r>
          </m:num>
          <m:den>
            <m:r>
              <m:t>100</m:t>
            </m:r>
          </m:den>
        </m:f>
        <m:r>
          <m:rPr>
            <m:sty m:val="p"/>
          </m:rPr>
          <m:t>+</m:t>
        </m:r>
        <m:f>
          <m:fPr>
            <m:type m:val="bar"/>
          </m:fPr>
          <m:num>
            <m:r>
              <m:t>54</m:t>
            </m:r>
          </m:num>
          <m:den>
            <m:r>
              <m:t>100</m:t>
            </m:r>
          </m:den>
        </m:f>
        <m:r>
          <m:rPr>
            <m:sty m:val="p"/>
          </m:rPr>
          <m:t>=</m:t>
        </m:r>
        <m:f>
          <m:fPr>
            <m:type m:val="bar"/>
          </m:fPr>
          <m:num>
            <m:r>
              <m:t>74</m:t>
            </m:r>
          </m:num>
          <m:den>
            <m:r>
              <m:t>100</m:t>
            </m:r>
          </m:den>
        </m:f>
      </m:oMath>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2022-12-15T00:21:19Z</dcterms:created>
  <dcterms:modified xsi:type="dcterms:W3CDTF">2022-12-15T00:21:19Z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qtjpuJAcB878A7Jvf8N8XvsEvZogvLqXR9kPvcGl7TWO3Kzh/JT/kznnEXEup1A2wuzEHDQ254zCU+rNtaruaA==</vt:lpwstr>
  </property>
</Properties>
</file>