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49.png" ContentType="image/png"/>
  <Override PartName="/word/media/rId52.png" ContentType="image/png"/>
  <Override PartName="/word/media/rId35.svg" ContentType="image/svg+xml;base64"/>
  <Override PartName="/word/media/rId31.svg" ContentType="image/svg+xml;base64"/>
  <Override PartName="/word/media/rId44.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1-qué-es-el-volumen"/>
    <w:p>
      <w:pPr>
        <w:pStyle w:val="Heading1"/>
      </w:pPr>
      <w:r>
        <w:t xml:space="preserve">Lesson 1: ¿Qué es el volumen?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w:t>
            </w:r>
          </w:p>
        </w:tc>
      </w:tr>
      <w:tr>
        <w:tc>
          <w:tcPr/>
          <w:p>
            <w:pPr>
              <w:pStyle w:val="Compact"/>
              <w:jc w:val="left"/>
            </w:pPr>
            <w:r>
              <w:t xml:space="preserve">Building Towards</w:t>
            </w:r>
          </w:p>
        </w:tc>
        <w:tc>
          <w:tcPr/>
          <w:p>
            <w:pPr>
              <w:pStyle w:val="Compact"/>
              <w:jc w:val="left"/>
            </w:pPr>
            <w:r>
              <w:t xml:space="preserve">5.MD.C.3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volume by building objects with unit cubes and comparing them.</w:t>
      </w:r>
    </w:p>
    <w:bookmarkEnd w:id="24"/>
    <w:bookmarkStart w:id="25" w:name="student-facing-learning-goals"/>
    <w:p>
      <w:pPr>
        <w:pStyle w:val="Heading3"/>
      </w:pPr>
      <w:r>
        <w:t xml:space="preserve">Student-facing Learning Goals</w:t>
      </w:r>
    </w:p>
    <w:p>
      <w:pPr>
        <w:numPr>
          <w:ilvl w:val="0"/>
          <w:numId w:val="1002"/>
        </w:numPr>
        <w:pStyle w:val="Compact"/>
      </w:pPr>
      <w:r>
        <w:t xml:space="preserve">Construyamos y comparemos objetos hechos con cubos.</w:t>
      </w:r>
    </w:p>
    <w:bookmarkEnd w:id="25"/>
    <w:bookmarkStart w:id="29" w:name="lesson-purpose"/>
    <w:p>
      <w:pPr>
        <w:pStyle w:val="Heading3"/>
      </w:pPr>
      <w:r>
        <w:t xml:space="preserve">Lesson Purpose</w:t>
      </w:r>
    </w:p>
    <w:p>
      <w:pPr>
        <w:pStyle w:val="FirstParagraph"/>
      </w:pPr>
      <w:r>
        <w:t xml:space="preserve">The purpose of this lesson is for students to understand that solid objects have measurable attributes.</w:t>
      </w:r>
      <w:r>
        <w:t xml:space="preserve"> </w:t>
      </w:r>
      <w:r>
        <w:rPr>
          <w:bCs/>
          <w:b/>
        </w:rPr>
        <w:t xml:space="preserve">Volume</w:t>
      </w:r>
      <w:r>
        <w:t xml:space="preserve"> </w:t>
      </w:r>
      <w:r>
        <w:t xml:space="preserve">is one of these attributes and is defined as the amount of space an object takes up.</w:t>
      </w:r>
    </w:p>
    <w:p>
      <w:pPr>
        <w:pStyle w:val="BodyText"/>
      </w:pPr>
      <w:r>
        <w:t xml:space="preserve">In previous grades, students learned that they can count the number of square tiles that cover a plane shape without gaps or overlaps to find the</w:t>
      </w:r>
      <w:r>
        <w:t xml:space="preserve"> </w:t>
      </w:r>
      <w:r>
        <w:rPr>
          <w:bCs/>
          <w:b/>
        </w:rPr>
        <w:t xml:space="preserve">area</w:t>
      </w:r>
      <w:r>
        <w:t xml:space="preserve"> </w:t>
      </w:r>
      <w:r>
        <w:t xml:space="preserve">of the shape. In this lesson, students explore the concept of volume as they build and compare objects made of cubes. Students learn that objects can have different shapes but still take up the same amount of space and that we call this amount an object’s volume.</w:t>
      </w:r>
    </w:p>
    <w:p>
      <w:pPr>
        <w:pStyle w:val="BodyText"/>
      </w:pPr>
      <w:r>
        <w:t xml:space="preserve">In the next lesson, students learn that volume is measured in cubic units and use unit cubes to find the volume of different objects. This work builds a conceptual understanding of volume before the introduction of formal ways to calculate the volume of rectangular prisms.</w:t>
      </w:r>
      <w:r>
        <w:br/>
      </w:r>
      <w:r>
        <w:t xml:space="preserve">In lessons with images of objects made of cubes, students may question if the objects are missing cubes they can’t see. In these cases, tell students to assume the objects, including prisms, are completely packed with cubes.</w:t>
      </w:r>
    </w:p>
    <w:p>
      <w:pPr>
        <w:pStyle w:val="BodyText"/>
      </w:pPr>
      <w:r>
        <w:t xml:space="preserve">Consider taking a community walk and noticing buildings and objects that are shaped like rectangular prisms in the community where your student’s live. In future lessons, you can display a list of these building and objects and ask students to add to the display.</w:t>
      </w:r>
    </w:p>
    <w:p>
      <w:pPr>
        <w:pStyle w:val="BodyText"/>
      </w:pPr>
      <w:r>
        <w:rPr>
          <w:bCs/>
          <w:b/>
        </w:rPr>
        <w:t xml:space="preserve">Math Community</w:t>
      </w:r>
    </w:p>
    <w:p>
      <w:pPr>
        <w:pStyle w:val="BodyText"/>
      </w:pPr>
      <w:r>
        <w:t xml:space="preserve">Prepare a space, such as a piece of poster paper, titled</w:t>
      </w:r>
      <w:r>
        <w:t xml:space="preserve"> </w:t>
      </w:r>
      <w:r>
        <w:rPr>
          <w:iCs/>
          <w:i/>
        </w:rPr>
        <w:t xml:space="preserve">“Comunidad matemática” // </w:t>
      </w:r>
      <w:r>
        <w:t xml:space="preserve">“Mathematical Community”​ ​and a T-chart with the headers</w:t>
      </w:r>
      <w:r>
        <w:t xml:space="preserve"> </w:t>
      </w:r>
      <w:r>
        <w:rPr>
          <w:iCs/>
          <w:i/>
        </w:rPr>
        <w:t xml:space="preserve">“Hacer matemáticas” // </w:t>
      </w:r>
      <w:r>
        <w:t xml:space="preserve">“Doing Math”​ ​and</w:t>
      </w:r>
      <w:r>
        <w:t xml:space="preserve"> </w:t>
      </w:r>
      <w:r>
        <w:rPr>
          <w:iCs/>
          <w:i/>
        </w:rPr>
        <w:t xml:space="preserve">“Normas” // </w:t>
      </w:r>
      <w:r>
        <w:t xml:space="preserve">“Norms.” Partition each of the columns into two sections: students and teacher. The two sections encourage the students and teacher to be mindful that both respective parties are responsible for the way math is done in the classroom.</w:t>
      </w:r>
    </w:p>
    <w:p>
      <w:pPr>
        <w:pStyle w:val="BodyText"/>
      </w:pPr>
      <w:r>
        <w:drawing>
          <wp:inline>
            <wp:extent cx="5498632" cy="2363983"/>
            <wp:effectExtent b="0" l="0" r="0" t="0"/>
            <wp:docPr descr="Chart" title="" id="27" name="Picture"/>
            <a:graphic>
              <a:graphicData uri="http://schemas.openxmlformats.org/drawingml/2006/picture">
                <pic:pic>
                  <pic:nvPicPr>
                    <pic:cNvPr descr="/app/tmp/embedder-1671065144.296859.png" id="28" name="Picture"/>
                    <pic:cNvPicPr>
                      <a:picLocks noChangeArrowheads="1" noChangeAspect="1"/>
                    </pic:cNvPicPr>
                  </pic:nvPicPr>
                  <pic:blipFill>
                    <a:blip r:embed="rId26"/>
                    <a:stretch>
                      <a:fillRect/>
                    </a:stretch>
                  </pic:blipFill>
                  <pic:spPr bwMode="auto">
                    <a:xfrm>
                      <a:off x="0" y="0"/>
                      <a:ext cx="5498632" cy="2363983"/>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8"/>
    <w:bookmarkStart w:id="39" w:name="instructional-routines"/>
    <w:p>
      <w:pPr>
        <w:pStyle w:val="Heading3"/>
      </w:pPr>
      <w:r>
        <w:t xml:space="preserve">Instructional Routines</w:t>
      </w:r>
    </w:p>
    <w:p>
      <w:pPr>
        <w:pStyle w:val="FirstParagraph"/>
      </w:pPr>
      <w:r>
        <w:t xml:space="preserve">Which One Doesn’t Belong? (Warm-up)</w:t>
      </w:r>
    </w:p>
    <w:bookmarkEnd w:id="39"/>
    <w:bookmarkStart w:id="40" w:name="materials-to-gather"/>
    <w:p>
      <w:pPr>
        <w:pStyle w:val="Heading3"/>
      </w:pPr>
      <w:r>
        <w:t xml:space="preserve">Materials to Gather</w:t>
      </w:r>
    </w:p>
    <w:p>
      <w:pPr>
        <w:numPr>
          <w:ilvl w:val="0"/>
          <w:numId w:val="1005"/>
        </w:numPr>
        <w:pStyle w:val="Compact"/>
      </w:pPr>
      <w:r>
        <w:t xml:space="preserve">Connecting cubes: Activity 2</w:t>
      </w:r>
    </w:p>
    <w:bookmarkEnd w:id="40"/>
    <w:bookmarkStart w:id="41" w:name="materials-to-copy"/>
    <w:p>
      <w:pPr>
        <w:pStyle w:val="Heading3"/>
      </w:pPr>
      <w:r>
        <w:t xml:space="preserve">Materials to Copy</w:t>
      </w:r>
    </w:p>
    <w:p>
      <w:pPr>
        <w:numPr>
          <w:ilvl w:val="0"/>
          <w:numId w:val="1006"/>
        </w:numPr>
        <w:pStyle w:val="Compact"/>
      </w:pPr>
      <w:r>
        <w:t xml:space="preserve">Isometric Dot Paper - Standard (groups of 1): Activity 2</w:t>
      </w:r>
    </w:p>
    <w:bookmarkEnd w:id="41"/>
    <w:bookmarkStart w:id="42"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2"/>
    <w:bookmarkStart w:id="43"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3"/>
    <w:bookmarkStart w:id="47"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5"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tiene más volumen?</w:t>
      </w:r>
    </w:p>
    <w:bookmarkEnd w:id="47"/>
    <w:bookmarkStart w:id="48"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w:t>
            </w:r>
          </w:p>
        </w:tc>
      </w:tr>
    </w:tbl>
    <w:bookmarkEnd w:id="48"/>
    <w:bookmarkStart w:id="55" w:name="student-facing-task-statement"/>
    <w:p>
      <w:pPr>
        <w:pStyle w:val="Heading3"/>
      </w:pPr>
      <w:r>
        <w:t xml:space="preserve">Student-facing Task Statement</w:t>
      </w:r>
    </w:p>
    <w:p>
      <w:pPr>
        <w:pStyle w:val="FirstParagraph"/>
      </w:pPr>
      <w:r>
        <w:t xml:space="preserve">¿Cuál objeto tiene mayor volumen? Explica o muestra tu razonamiento.</w:t>
      </w:r>
    </w:p>
    <w:p>
      <w:pPr>
        <w:pStyle w:val="BodyText"/>
      </w:pPr>
      <w:r>
        <w:t xml:space="preserve">A</w:t>
      </w:r>
      <w:r>
        <w:drawing>
          <wp:inline>
            <wp:extent cx="1485900" cy="1238250"/>
            <wp:effectExtent b="0" l="0" r="0" t="0"/>
            <wp:docPr descr="Line of five cubes with three additional cubes are stacked on top. " title="" id="50" name="Picture"/>
            <a:graphic>
              <a:graphicData uri="http://schemas.openxmlformats.org/drawingml/2006/picture">
                <pic:pic>
                  <pic:nvPicPr>
                    <pic:cNvPr descr="/app/tmp/embedder-1671065144.3463776.png" id="51" name="Picture"/>
                    <pic:cNvPicPr>
                      <a:picLocks noChangeArrowheads="1" noChangeAspect="1"/>
                    </pic:cNvPicPr>
                  </pic:nvPicPr>
                  <pic:blipFill>
                    <a:blip r:embed="rId49"/>
                    <a:stretch>
                      <a:fillRect/>
                    </a:stretch>
                  </pic:blipFill>
                  <pic:spPr bwMode="auto">
                    <a:xfrm>
                      <a:off x="0" y="0"/>
                      <a:ext cx="1485900" cy="1238250"/>
                    </a:xfrm>
                    <a:prstGeom prst="rect">
                      <a:avLst/>
                    </a:prstGeom>
                    <a:noFill/>
                    <a:ln w="9525">
                      <a:noFill/>
                      <a:headEnd/>
                      <a:tailEnd/>
                    </a:ln>
                  </pic:spPr>
                </pic:pic>
              </a:graphicData>
            </a:graphic>
          </wp:inline>
        </w:drawing>
      </w:r>
    </w:p>
    <w:p>
      <w:pPr>
        <w:pStyle w:val="BodyText"/>
      </w:pPr>
      <w:r>
        <w:t xml:space="preserve">B</w:t>
      </w:r>
      <w:r>
        <w:drawing>
          <wp:inline>
            <wp:extent cx="1485900" cy="990600"/>
            <wp:effectExtent b="0" l="0" r="0" t="0"/>
            <wp:docPr descr="Rectangular prism. 2 cubes by 2 cubes by 2 cubes. With 1 extra cube attached to one side. " title="" id="53" name="Picture"/>
            <a:graphic>
              <a:graphicData uri="http://schemas.openxmlformats.org/drawingml/2006/picture">
                <pic:pic>
                  <pic:nvPicPr>
                    <pic:cNvPr descr="/app/tmp/embedder-1671065144.4524248.png" id="54" name="Picture"/>
                    <pic:cNvPicPr>
                      <a:picLocks noChangeArrowheads="1" noChangeAspect="1"/>
                    </pic:cNvPicPr>
                  </pic:nvPicPr>
                  <pic:blipFill>
                    <a:blip r:embed="rId52"/>
                    <a:stretch>
                      <a:fillRect/>
                    </a:stretch>
                  </pic:blipFill>
                  <pic:spPr bwMode="auto">
                    <a:xfrm>
                      <a:off x="0" y="0"/>
                      <a:ext cx="1485900" cy="990600"/>
                    </a:xfrm>
                    <a:prstGeom prst="rect">
                      <a:avLst/>
                    </a:prstGeom>
                    <a:noFill/>
                    <a:ln w="9525">
                      <a:noFill/>
                      <a:headEnd/>
                      <a:tailEnd/>
                    </a:ln>
                  </pic:spPr>
                </pic:pic>
              </a:graphicData>
            </a:graphic>
          </wp:inline>
        </w:drawing>
      </w:r>
    </w:p>
    <w:bookmarkEnd w:id="55"/>
    <w:bookmarkStart w:id="56" w:name="student-responses"/>
    <w:p>
      <w:pPr>
        <w:pStyle w:val="Heading3"/>
      </w:pPr>
      <w:r>
        <w:t xml:space="preserve">Student Responses</w:t>
      </w:r>
    </w:p>
    <w:p>
      <w:pPr>
        <w:pStyle w:val="FirstParagraph"/>
      </w:pPr>
      <w:r>
        <w:t xml:space="preserve">B, it is made of 9 cubes and A is made of 8 cubes.</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4" Target="media/rId44.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2022-12-15T00:45:45Z</dcterms:created>
  <dcterms:modified xsi:type="dcterms:W3CDTF">2022-12-15T00:45:45Z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jCcsB2JrOHRGlNYnQgt66FqTtnuiel7oxbNMSa63sBOoI2leDuPAKYNwdTkTb1aAY3vP/bbwA/NAOak52rizTg==</vt:lpwstr>
  </property>
</Properties>
</file>