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2a14c4b26bc6f7dc74e5542dfe9aa317213608"/>
    <w:p>
      <w:pPr>
        <w:pStyle w:val="Heading2"/>
      </w:pPr>
      <w:r>
        <w:t xml:space="preserve">Unit 6 Lesson 6: Problemas de conversión de varios pasos: Volumen líquido en unidades métricas</w:t>
      </w:r>
    </w:p>
    <w:bookmarkEnd w:id="20"/>
    <w:bookmarkStart w:id="22" w:name="X31efd7421ea19c85948464dd6706e080258c967"/>
    <w:p>
      <w:pPr>
        <w:pStyle w:val="Heading3"/>
      </w:pPr>
      <w:r>
        <w:t xml:space="preserve">WU Conversación numérica: Dividamos entre potencias de 10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Style w:val="Compact"/>
      </w:pPr>
      <m:oMath>
        <m:r>
          <m:t>1</m:t>
        </m:r>
        <m:r>
          <m:rPr>
            <m:sty m:val="p"/>
          </m:rPr>
          <m:t>,</m:t>
        </m:r>
        <m:r>
          <m:t>​</m:t>
        </m:r>
        <m:r>
          <m:t>400</m:t>
        </m:r>
        <m:r>
          <m:rPr>
            <m:sty m:val="p"/>
          </m:rPr>
          <m:t>÷</m:t>
        </m:r>
        <m:r>
          <m:t>10</m:t>
        </m:r>
      </m:oMath>
    </w:p>
    <w:p>
      <w:pPr>
        <w:numPr>
          <w:ilvl w:val="0"/>
          <w:numId w:val="1001"/>
        </w:numPr>
        <w:pStyle w:val="Compact"/>
      </w:pPr>
      <m:oMath>
        <m:r>
          <m:t>1</m:t>
        </m:r>
        <m:r>
          <m:rPr>
            <m:sty m:val="p"/>
          </m:rPr>
          <m:t>,</m:t>
        </m:r>
        <m:r>
          <m:t>​</m:t>
        </m:r>
        <m:r>
          <m:t>400</m:t>
        </m:r>
        <m:r>
          <m:rPr>
            <m:sty m:val="p"/>
          </m:rPr>
          <m:t>÷</m:t>
        </m:r>
        <m:r>
          <m:t>100</m:t>
        </m:r>
      </m:oMath>
    </w:p>
    <w:p>
      <w:pPr>
        <w:numPr>
          <w:ilvl w:val="0"/>
          <w:numId w:val="1001"/>
        </w:numPr>
        <w:pStyle w:val="Compact"/>
      </w:pPr>
      <m:oMath>
        <m:r>
          <m:t>1</m:t>
        </m:r>
        <m:r>
          <m:rPr>
            <m:sty m:val="p"/>
          </m:rPr>
          <m:t>,</m:t>
        </m:r>
        <m:r>
          <m:t>​</m:t>
        </m:r>
        <m:r>
          <m:t>400</m:t>
        </m:r>
        <m:r>
          <m:rPr>
            <m:sty m:val="p"/>
          </m:rPr>
          <m:t>÷</m:t>
        </m:r>
        <m:r>
          <m:t>1</m:t>
        </m:r>
        <m:r>
          <m:rPr>
            <m:sty m:val="p"/>
          </m:rPr>
          <m:t>,</m:t>
        </m:r>
        <m:r>
          <m:t>​</m:t>
        </m:r>
        <m:r>
          <m:t>000</m:t>
        </m:r>
      </m:oMath>
    </w:p>
    <w:p>
      <w:pPr>
        <w:numPr>
          <w:ilvl w:val="0"/>
          <w:numId w:val="1001"/>
        </w:numPr>
        <w:pStyle w:val="Compact"/>
      </w:pPr>
      <m:oMath>
        <m:r>
          <m:t>1</m:t>
        </m:r>
        <m:r>
          <m:rPr>
            <m:sty m:val="p"/>
          </m:rPr>
          <m:t>,</m:t>
        </m:r>
        <m:r>
          <m:t>​</m:t>
        </m:r>
        <m:r>
          <m:t>401</m:t>
        </m:r>
        <m:r>
          <m:rPr>
            <m:sty m:val="p"/>
          </m:rPr>
          <m:t>÷</m:t>
        </m:r>
        <m:r>
          <m:t>1</m:t>
        </m:r>
        <m:r>
          <m:rPr>
            <m:sty m:val="p"/>
          </m:rPr>
          <m:t>,</m:t>
        </m:r>
        <m:r>
          <m:t>​</m:t>
        </m:r>
        <m:r>
          <m:t>000</m:t>
        </m:r>
      </m:oMath>
    </w:p>
    <w:bookmarkEnd w:id="21"/>
    <w:bookmarkEnd w:id="22"/>
    <w:bookmarkStart w:id="27" w:name="conversiones-de-volúmenes-líquidos"/>
    <w:p>
      <w:pPr>
        <w:pStyle w:val="Heading3"/>
      </w:pPr>
      <w:r>
        <w:t xml:space="preserve">1 Conversiones de volúmenes líquidos</w:t>
      </w:r>
    </w:p>
    <w:bookmarkStart w:id="26" w:name="student-task-statement-1"/>
    <w:p>
      <w:pPr>
        <w:pStyle w:val="Heading4"/>
      </w:pPr>
      <w:r>
        <w:t xml:space="preserve">Student Task Statement</w:t>
      </w:r>
    </w:p>
    <w:p>
      <w:pPr>
        <w:pStyle w:val="FirstParagraph"/>
      </w:pPr>
      <w:r>
        <w:drawing>
          <wp:inline>
            <wp:extent cx="5507807" cy="3856382"/>
            <wp:effectExtent b="0" l="0" r="0" t="0"/>
            <wp:docPr descr="5 water bottles. From left to right, 3 hundred 30 milliliters, 5 hundred milliliters, 7 hundred fifty milliliters, 1 liter, 1 and 5 tenths liters. " title="" id="24" name="Picture"/>
            <a:graphic>
              <a:graphicData uri="http://schemas.openxmlformats.org/drawingml/2006/picture">
                <pic:pic>
                  <pic:nvPicPr>
                    <pic:cNvPr descr="/app/tmp/embedder-1671066295.1844807.png" id="25" name="Picture"/>
                    <pic:cNvPicPr>
                      <a:picLocks noChangeArrowheads="1" noChangeAspect="1"/>
                    </pic:cNvPicPr>
                  </pic:nvPicPr>
                  <pic:blipFill>
                    <a:blip r:embed="rId23"/>
                    <a:stretch>
                      <a:fillRect/>
                    </a:stretch>
                  </pic:blipFill>
                  <pic:spPr bwMode="auto">
                    <a:xfrm>
                      <a:off x="0" y="0"/>
                      <a:ext cx="5507807" cy="3856382"/>
                    </a:xfrm>
                    <a:prstGeom prst="rect">
                      <a:avLst/>
                    </a:prstGeom>
                    <a:noFill/>
                    <a:ln w="9525">
                      <a:noFill/>
                      <a:headEnd/>
                      <a:tailEnd/>
                    </a:ln>
                  </pic:spPr>
                </pic:pic>
              </a:graphicData>
            </a:graphic>
          </wp:inline>
        </w:drawing>
      </w:r>
    </w:p>
    <w:p>
      <w:pPr>
        <w:numPr>
          <w:ilvl w:val="0"/>
          <w:numId w:val="1002"/>
        </w:numPr>
        <w:pStyle w:val="Compact"/>
      </w:pPr>
      <w:r>
        <w:t xml:space="preserve">Completa la tabla.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L</w:t>
            </w:r>
          </w:p>
        </w:tc>
        <w:tc>
          <w:tcPr/>
          <w:p>
            <w:pPr>
              <w:numPr>
                <w:ilvl w:val="0"/>
                <w:numId w:val="1000"/>
              </w:numPr>
              <w:pStyle w:val="Compact"/>
              <w:jc w:val="center"/>
            </w:pPr>
            <w:r>
              <w:t xml:space="preserve">mL</w:t>
            </w:r>
          </w:p>
        </w:tc>
      </w:tr>
      <w:tr>
        <w:tc>
          <w:tcPr/>
          <w:p>
            <w:pPr>
              <w:numPr>
                <w:ilvl w:val="0"/>
                <w:numId w:val="1000"/>
              </w:numPr>
              <w:pStyle w:val="Compact"/>
              <w:jc w:val="center"/>
            </w:pPr>
            <w:r>
              <w:t xml:space="preserve">5</w:t>
            </w:r>
          </w:p>
        </w:tc>
        <w:tc>
          <w:tcPr/>
          <w:p>
            <w:pPr>
              <w:pStyle w:val="Compact"/>
            </w:pPr>
          </w:p>
        </w:tc>
      </w:tr>
      <w:tr>
        <w:tc>
          <w:tcPr/>
          <w:p>
            <w:pPr>
              <w:numPr>
                <w:ilvl w:val="0"/>
                <w:numId w:val="1000"/>
              </w:numPr>
              <w:pStyle w:val="Compact"/>
              <w:jc w:val="center"/>
            </w:pPr>
            <w:r>
              <w:t xml:space="preserve">6.3</w:t>
            </w:r>
          </w:p>
        </w:tc>
        <w:tc>
          <w:tcPr/>
          <w:p>
            <w:pPr>
              <w:pStyle w:val="Compact"/>
            </w:pPr>
          </w:p>
        </w:tc>
      </w:tr>
      <w:tr>
        <w:tc>
          <w:tcPr/>
          <w:p>
            <w:pPr>
              <w:numPr>
                <w:ilvl w:val="0"/>
                <w:numId w:val="1000"/>
              </w:numPr>
              <w:pStyle w:val="Compact"/>
              <w:jc w:val="center"/>
            </w:pPr>
            <w:r>
              <w:t xml:space="preserve">0.95</w:t>
            </w:r>
          </w:p>
        </w:tc>
        <w:tc>
          <w:tcPr/>
          <w:p>
            <w:pPr>
              <w:pStyle w:val="Compact"/>
            </w:pPr>
          </w:p>
        </w:tc>
      </w:tr>
      <w:tr>
        <w:tc>
          <w:tcPr/>
          <w:p>
            <w:pPr>
              <w:numPr>
                <w:ilvl w:val="0"/>
                <w:numId w:val="1000"/>
              </w:numPr>
              <w:pStyle w:val="Compact"/>
              <w:jc w:val="center"/>
            </w:pPr>
            <m:oMath>
              <m:sSup>
                <m:e>
                  <m:r>
                    <m:t>10</m:t>
                  </m:r>
                </m:e>
                <m:sup>
                  <m:r>
                    <m:t>2</m:t>
                  </m:r>
                </m:sup>
              </m:sSup>
            </m:oMath>
          </w:p>
        </w:tc>
        <w:tc>
          <w:tcPr/>
          <w:p>
            <w:pPr>
              <w:pStyle w:val="Compact"/>
            </w:pPr>
          </w:p>
        </w:tc>
      </w:tr>
      <w:tr>
        <w:tc>
          <w:tcPr/>
          <w:p>
            <w:pPr>
              <w:pStyle w:val="Compact"/>
            </w:pPr>
          </w:p>
        </w:tc>
        <w:tc>
          <w:tcPr/>
          <w:p>
            <w:pPr>
              <w:numPr>
                <w:ilvl w:val="0"/>
                <w:numId w:val="1000"/>
              </w:numPr>
              <w:pStyle w:val="Compact"/>
              <w:jc w:val="center"/>
            </w:pPr>
            <w:r>
              <w:t xml:space="preserve">800,000</w:t>
            </w:r>
          </w:p>
        </w:tc>
      </w:tr>
      <w:tr>
        <w:tc>
          <w:tcPr/>
          <w:p>
            <w:pPr>
              <w:pStyle w:val="Compact"/>
            </w:pPr>
          </w:p>
        </w:tc>
        <w:tc>
          <w:tcPr/>
          <w:p>
            <w:pPr>
              <w:numPr>
                <w:ilvl w:val="0"/>
                <w:numId w:val="1000"/>
              </w:numPr>
              <w:pStyle w:val="Compact"/>
              <w:jc w:val="center"/>
            </w:pPr>
            <m:oMath>
              <m:sSup>
                <m:e>
                  <m:r>
                    <m:t>10</m:t>
                  </m:r>
                </m:e>
                <m:sup>
                  <m:r>
                    <m:t>6</m:t>
                  </m:r>
                </m:sup>
              </m:sSup>
            </m:oMath>
          </w:p>
        </w:tc>
      </w:tr>
      <w:tr>
        <w:tc>
          <w:tcPr/>
          <w:p>
            <w:pPr>
              <w:pStyle w:val="Compact"/>
            </w:pPr>
          </w:p>
        </w:tc>
        <w:tc>
          <w:tcPr/>
          <w:p>
            <w:pPr>
              <w:numPr>
                <w:ilvl w:val="0"/>
                <w:numId w:val="1000"/>
              </w:numPr>
              <w:pStyle w:val="Compact"/>
              <w:jc w:val="center"/>
            </w:pPr>
            <w:r>
              <w:t xml:space="preserve">65</w:t>
            </w:r>
          </w:p>
        </w:tc>
      </w:tr>
    </w:tbl>
    <w:p>
      <w:pPr>
        <w:numPr>
          <w:ilvl w:val="0"/>
          <w:numId w:val="1002"/>
        </w:numPr>
      </w:pPr>
      <w:r>
        <w:t xml:space="preserve">En cada caso, decide si las dos medidas son iguales. Si no lo son, escoge cuál es mayor. Explica o muestra cómo razonaste.</w:t>
      </w:r>
    </w:p>
    <w:p>
      <w:pPr>
        <w:numPr>
          <w:ilvl w:val="1"/>
          <w:numId w:val="1003"/>
        </w:numPr>
        <w:pStyle w:val="Compact"/>
      </w:pPr>
      <w:r>
        <w:t xml:space="preserve">15 mL y 0.15 L</w:t>
      </w:r>
    </w:p>
    <w:p>
      <w:pPr>
        <w:numPr>
          <w:ilvl w:val="1"/>
          <w:numId w:val="1003"/>
        </w:numPr>
        <w:pStyle w:val="Compact"/>
      </w:pPr>
      <w:r>
        <w:t xml:space="preserve">2,500 mL y 2.5 L</w:t>
      </w:r>
    </w:p>
    <w:p>
      <w:pPr>
        <w:numPr>
          <w:ilvl w:val="1"/>
          <w:numId w:val="1003"/>
        </w:numPr>
        <w:pStyle w:val="Compact"/>
      </w:pPr>
      <w:r>
        <w:t xml:space="preserve">200 mL y </w:t>
      </w:r>
      <m:oMath>
        <m:f>
          <m:fPr>
            <m:type m:val="bar"/>
          </m:fPr>
          <m:num>
            <m:r>
              <m:t>1</m:t>
            </m:r>
          </m:num>
          <m:den>
            <m:r>
              <m:t>4</m:t>
            </m:r>
          </m:den>
        </m:f>
      </m:oMath>
      <w:r>
        <w:t xml:space="preserve"> </w:t>
      </w:r>
      <w:r>
        <w:t xml:space="preserve">L</w:t>
      </w:r>
    </w:p>
    <w:p>
      <w:pPr>
        <w:numPr>
          <w:ilvl w:val="1"/>
          <w:numId w:val="1003"/>
        </w:numPr>
        <w:pStyle w:val="Compact"/>
      </w:pPr>
      <w:r>
        <w:t xml:space="preserve">1 mL y </w:t>
      </w:r>
      <m:oMath>
        <m:f>
          <m:fPr>
            <m:type m:val="bar"/>
          </m:fPr>
          <m:num>
            <m:r>
              <m:t>1</m:t>
            </m:r>
          </m:num>
          <m:den>
            <m:r>
              <m:t>1</m:t>
            </m:r>
            <m:r>
              <m:rPr>
                <m:sty m:val="p"/>
              </m:rPr>
              <m:t>,</m:t>
            </m:r>
            <m:r>
              <m:t>000</m:t>
            </m:r>
          </m:den>
        </m:f>
      </m:oMath>
      <w:r>
        <w:t xml:space="preserve"> </w:t>
      </w:r>
      <w:r>
        <w:t xml:space="preserve">L</w:t>
      </w:r>
    </w:p>
    <w:p>
      <w:pPr>
        <w:numPr>
          <w:ilvl w:val="1"/>
          <w:numId w:val="1003"/>
        </w:numPr>
        <w:pStyle w:val="Compact"/>
      </w:pPr>
      <w:r>
        <w:t xml:space="preserve">15,600 mL y 15.5 L</w:t>
      </w:r>
    </w:p>
    <w:bookmarkEnd w:id="26"/>
    <w:bookmarkEnd w:id="27"/>
    <w:bookmarkStart w:id="35" w:name="rehidratación-de-los-bailarines"/>
    <w:p>
      <w:pPr>
        <w:pStyle w:val="Heading3"/>
      </w:pPr>
      <w:r>
        <w:t xml:space="preserve">2 Rehidratación de los bailarines</w:t>
      </w:r>
    </w:p>
    <w:bookmarkStart w:id="34" w:name="student-task-statement-2"/>
    <w:p>
      <w:pPr>
        <w:pStyle w:val="Heading4"/>
      </w:pPr>
      <w:r>
        <w:t xml:space="preserve">Student Task Statement</w:t>
      </w:r>
    </w:p>
    <w:p>
      <w:pPr>
        <w:pStyle w:val="FirstParagraph"/>
      </w:pPr>
      <w:r>
        <w:t xml:space="preserve">En el grupo artístico hay 25 bailarines. Durante el ensayo, cada bailarín se toma </w:t>
      </w:r>
      <m:oMath>
        <m:r>
          <m:t>1</m:t>
        </m:r>
        <m:f>
          <m:fPr>
            <m:type m:val="bar"/>
          </m:fPr>
          <m:num>
            <m:r>
              <m:t>1</m:t>
            </m:r>
          </m:num>
          <m:den>
            <m:r>
              <m:t>2</m:t>
            </m:r>
          </m:den>
        </m:f>
      </m:oMath>
      <w:r>
        <w:t xml:space="preserve"> </w:t>
      </w:r>
      <w:r>
        <w:t xml:space="preserve">botellas de agua.</w:t>
      </w:r>
    </w:p>
    <w:p>
      <w:pPr>
        <w:numPr>
          <w:ilvl w:val="0"/>
          <w:numId w:val="1004"/>
        </w:numPr>
        <w:pStyle w:val="Compact"/>
      </w:pPr>
      <w:r>
        <w:t xml:space="preserve">Cada botella contiene 500 mL de agua. ¿Cuántos litros de agua se toman los bailarines? Explica o muestra cómo razonaste.</w:t>
      </w:r>
    </w:p>
    <w:p>
      <w:pPr>
        <w:numPr>
          <w:ilvl w:val="0"/>
          <w:numId w:val="1004"/>
        </w:numPr>
      </w:pPr>
      <w:r>
        <w:t xml:space="preserve">Cada dispensador contiene 15 L de agua. ¿Cuántos dispensadores necesita el grupo? ¿Cuánta agua sobrará después del ensayo? Explica o muestra cómo razonaste.</w:t>
      </w:r>
    </w:p>
    <w:p>
      <w:pPr>
        <w:numPr>
          <w:ilvl w:val="0"/>
          <w:numId w:val="1000"/>
        </w:numPr>
        <w:pStyle w:val="Compact"/>
      </w:pPr>
      <w:r>
        <w:drawing>
          <wp:inline>
            <wp:extent cx="3214161" cy="3581145"/>
            <wp:effectExtent b="0" l="0" r="0" t="0"/>
            <wp:docPr descr="image of water bottle, 500 milliliters. water cooler, 15 liters." title="" id="29" name="Picture"/>
            <a:graphic>
              <a:graphicData uri="http://schemas.openxmlformats.org/drawingml/2006/picture">
                <pic:pic>
                  <pic:nvPicPr>
                    <pic:cNvPr descr="/app/tmp/embedder-1671066295.2331047.png" id="30" name="Picture"/>
                    <pic:cNvPicPr>
                      <a:picLocks noChangeArrowheads="1" noChangeAspect="1"/>
                    </pic:cNvPicPr>
                  </pic:nvPicPr>
                  <pic:blipFill>
                    <a:blip r:embed="rId28"/>
                    <a:stretch>
                      <a:fillRect/>
                    </a:stretch>
                  </pic:blipFill>
                  <pic:spPr bwMode="auto">
                    <a:xfrm>
                      <a:off x="0" y="0"/>
                      <a:ext cx="3214161" cy="3581145"/>
                    </a:xfrm>
                    <a:prstGeom prst="rect">
                      <a:avLst/>
                    </a:prstGeom>
                    <a:noFill/>
                    <a:ln w="9525">
                      <a:noFill/>
                      <a:headEnd/>
                      <a:tailEnd/>
                    </a:ln>
                  </pic:spPr>
                </pic:pic>
              </a:graphicData>
            </a:graphic>
          </wp:inline>
        </w:drawing>
      </w:r>
    </w:p>
    <w:p>
      <w:pPr>
        <w:numPr>
          <w:ilvl w:val="0"/>
          <w:numId w:val="1004"/>
        </w:numPr>
        <w:pStyle w:val="Compact"/>
      </w:pPr>
      <w:r>
        <w:t xml:space="preserve">Los bailarines pueden preparar una bebida hidratante mezclando 30 mL de mezcla para bebida con 500 mL de agua. ¿Cuántos litros de mezcla para bebida se necesitan para el ensayo del grupo? Explica o muestra cómo razonaste.</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2022-12-15T01:04:55Z</dcterms:created>
  <dcterms:modified xsi:type="dcterms:W3CDTF">2022-12-15T01:04:55Z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d5IP54GKQrerKTOdyF5mR57+QNpSblCojXnvPcNCosdTlkq+7QK66m7NkIOZOkovpxY5XEbkDbMI8wpNt02hmg==</vt:lpwstr>
  </property>
</Properties>
</file>