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33.png" ContentType="image/png"/>
  <Override PartName="/word/media/rId25.png" ContentType="image/png"/>
  <Override PartName="/word/media/rId30.png" ContentType="image/png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0" w:name="Xdac056942a50d67b7462d22e029f55f7df80c34"/>
    <w:p>
      <w:pPr>
        <w:pStyle w:val="Heading2"/>
      </w:pPr>
      <w:r>
        <w:t xml:space="preserve">Unit 2 Lesson 12: Navigating a Table of Equivalent Ratios</w:t>
      </w:r>
    </w:p>
    <w:bookmarkEnd w:id="20"/>
    <w:bookmarkStart w:id="22" w:name="X6a470c4bc5169dfd407638ab4d52ce504efb9f8"/>
    <w:p>
      <w:pPr>
        <w:pStyle w:val="Heading3"/>
      </w:pPr>
      <w:r>
        <w:t xml:space="preserve">1 Number Talk: Multiplying by a Unit Fraction (Warm up)</w:t>
      </w:r>
    </w:p>
    <w:bookmarkStart w:id="21" w:name="student-task-statement"/>
    <w:p>
      <w:pPr>
        <w:pStyle w:val="Heading4"/>
      </w:pPr>
      <w:r>
        <w:t xml:space="preserve">Student Task Statement</w:t>
      </w:r>
    </w:p>
    <w:p>
      <w:pPr>
        <w:pStyle w:val="FirstParagraph"/>
      </w:pPr>
      <w:r>
        <w:t xml:space="preserve">Find the product mentally.</w:t>
      </w:r>
    </w:p>
    <w:p>
      <w:pPr>
        <w:pStyle w:val="BodyText"/>
      </w:pPr>
      <m:oMath>
        <m:f>
          <m:fPr>
            <m:type m:val="bar"/>
          </m:fPr>
          <m:num>
            <m:r>
              <m:t>1</m:t>
            </m:r>
          </m:num>
          <m:den>
            <m:r>
              <m:t>3</m:t>
            </m:r>
          </m:den>
        </m:f>
        <m:r>
          <m:rPr>
            <m:sty m:val="p"/>
          </m:rPr>
          <m:t>⋅</m:t>
        </m:r>
        <m:r>
          <m:t>21</m:t>
        </m:r>
      </m:oMath>
    </w:p>
    <w:p>
      <w:pPr>
        <w:pStyle w:val="BodyText"/>
      </w:pPr>
      <m:oMath>
        <m:f>
          <m:fPr>
            <m:type m:val="bar"/>
          </m:fPr>
          <m:num>
            <m:r>
              <m:t>1</m:t>
            </m:r>
          </m:num>
          <m:den>
            <m:r>
              <m:t>6</m:t>
            </m:r>
          </m:den>
        </m:f>
        <m:r>
          <m:rPr>
            <m:sty m:val="p"/>
          </m:rPr>
          <m:t>⋅</m:t>
        </m:r>
        <m:r>
          <m:t>21</m:t>
        </m:r>
      </m:oMath>
    </w:p>
    <w:p>
      <w:pPr>
        <w:pStyle w:val="BodyText"/>
      </w:pPr>
      <m:oMath>
        <m:d>
          <m:dPr>
            <m:begChr m:val="("/>
            <m:endChr m:val=")"/>
            <m:sepChr m:val=""/>
            <m:grow/>
          </m:dPr>
          <m:e>
            <m:r>
              <m:t>5.6</m:t>
            </m:r>
          </m:e>
        </m:d>
        <m:r>
          <m:rPr>
            <m:sty m:val="p"/>
          </m:rPr>
          <m:t>⋅</m:t>
        </m:r>
        <m:f>
          <m:fPr>
            <m:type m:val="bar"/>
          </m:fPr>
          <m:num>
            <m:r>
              <m:t>1</m:t>
            </m:r>
          </m:num>
          <m:den>
            <m:r>
              <m:t>8</m:t>
            </m:r>
          </m:den>
        </m:f>
      </m:oMath>
    </w:p>
    <w:p>
      <w:pPr>
        <w:pStyle w:val="BodyText"/>
      </w:pPr>
      <m:oMath>
        <m:f>
          <m:fPr>
            <m:type m:val="bar"/>
          </m:fPr>
          <m:num>
            <m:r>
              <m:t>1</m:t>
            </m:r>
          </m:num>
          <m:den>
            <m:r>
              <m:t>4</m:t>
            </m:r>
          </m:den>
        </m:f>
        <m:r>
          <m:rPr>
            <m:sty m:val="p"/>
          </m:rPr>
          <m:t>⋅</m:t>
        </m:r>
        <m:d>
          <m:dPr>
            <m:begChr m:val="("/>
            <m:endChr m:val=")"/>
            <m:sepChr m:val=""/>
            <m:grow/>
          </m:dPr>
          <m:e>
            <m:r>
              <m:t>5.6</m:t>
            </m:r>
          </m:e>
        </m:d>
      </m:oMath>
    </w:p>
    <w:bookmarkEnd w:id="21"/>
    <w:bookmarkEnd w:id="22"/>
    <w:bookmarkStart w:id="24" w:name="comparing-taco-prices"/>
    <w:p>
      <w:pPr>
        <w:pStyle w:val="Heading3"/>
      </w:pPr>
      <w:r>
        <w:t xml:space="preserve">2 Comparing Taco Prices</w:t>
      </w:r>
    </w:p>
    <w:bookmarkStart w:id="23" w:name="student-task-statement-1"/>
    <w:p>
      <w:pPr>
        <w:pStyle w:val="Heading4"/>
      </w:pPr>
      <w:r>
        <w:t xml:space="preserve">Student Task Statement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3960"/>
        <w:gridCol w:w="3960"/>
      </w:tblGrid>
      <w:tr>
        <w:trPr>
          <w:tblHeader w:val="true"/>
        </w:trPr>
        <w:tc>
          <w:tcPr/>
          <w:p>
            <w:pPr>
              <w:pStyle w:val="Compact"/>
              <w:jc w:val="left"/>
            </w:pPr>
            <w:r>
              <w:t xml:space="preserve">number of tacos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price in dollars</w:t>
            </w:r>
          </w:p>
        </w:tc>
      </w:tr>
      <w:tr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</w:tr>
      <w:tr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</w:tr>
      <w:tr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</w:tr>
      <w:tr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</w:tr>
      <w:tr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</w:tr>
    </w:tbl>
    <w:p>
      <w:pPr>
        <w:pStyle w:val="BodyText"/>
      </w:pPr>
      <w:r>
        <w:t xml:space="preserve">Use the table to help you solve these problems. Explain or show your reasoning.</w:t>
      </w:r>
    </w:p>
    <w:p>
      <w:pPr>
        <w:numPr>
          <w:ilvl w:val="0"/>
          <w:numId w:val="1001"/>
        </w:numPr>
        <w:pStyle w:val="Compact"/>
      </w:pPr>
      <w:r>
        <w:t xml:space="preserve">Noah bought 4 tacos and paid</w:t>
      </w:r>
      <w:r>
        <w:t xml:space="preserve"> </w:t>
      </w:r>
      <w:r>
        <w:t xml:space="preserve">$</w:t>
      </w:r>
      <w:r>
        <w:t xml:space="preserve">6. At this rate, how many tacos could he buy for</w:t>
      </w:r>
      <w:r>
        <w:t xml:space="preserve"> </w:t>
      </w:r>
      <w:r>
        <w:t xml:space="preserve">$</w:t>
      </w:r>
      <w:r>
        <w:t xml:space="preserve">15?</w:t>
      </w:r>
    </w:p>
    <w:p>
      <w:pPr>
        <w:numPr>
          <w:ilvl w:val="0"/>
          <w:numId w:val="1001"/>
        </w:numPr>
        <w:pStyle w:val="Compact"/>
      </w:pPr>
      <w:r>
        <w:t xml:space="preserve">Jada’s family bought 50 tacos for a party and paid</w:t>
      </w:r>
      <w:r>
        <w:t xml:space="preserve"> </w:t>
      </w:r>
      <w:r>
        <w:t xml:space="preserve">$</w:t>
      </w:r>
      <w:r>
        <w:t xml:space="preserve">72. Were Jada’s tacos the same price as Noah’s tacos?</w:t>
      </w:r>
    </w:p>
    <w:p>
      <w:pPr>
        <w:pStyle w:val="FirstParagraph"/>
      </w:pPr>
      <w:r>
        <w:t xml:space="preserve"> </w:t>
      </w:r>
    </w:p>
    <w:bookmarkEnd w:id="23"/>
    <w:bookmarkEnd w:id="24"/>
    <w:bookmarkStart w:id="29" w:name="hourly-wages"/>
    <w:p>
      <w:pPr>
        <w:pStyle w:val="Heading3"/>
      </w:pPr>
      <w:r>
        <w:t xml:space="preserve">3 Hourly Wages</w:t>
      </w:r>
    </w:p>
    <w:bookmarkStart w:id="28" w:name="student-task-statement-2"/>
    <w:p>
      <w:pPr>
        <w:pStyle w:val="Heading4"/>
      </w:pPr>
      <w:r>
        <w:t xml:space="preserve">Student Task Statement</w:t>
      </w:r>
    </w:p>
    <w:p>
      <w:pPr>
        <w:pStyle w:val="FirstParagraph"/>
      </w:pPr>
      <w:r>
        <w:t xml:space="preserve">Lin is paid</w:t>
      </w:r>
      <w:r>
        <w:t xml:space="preserve"> </w:t>
      </w:r>
      <w:r>
        <w:t xml:space="preserve">$</w:t>
      </w:r>
      <w:r>
        <w:t xml:space="preserve">90 for 5 hours of work. She used the table to calculate how much she would be paid at this rate for 8 hours of work.</w:t>
      </w:r>
    </w:p>
    <w:p>
      <w:pPr>
        <w:pStyle w:val="BodyText"/>
      </w:pPr>
      <w:r>
        <w:drawing>
          <wp:inline>
            <wp:extent cx="3691240" cy="2097921"/>
            <wp:effectExtent b="0" l="0" r="0" t="0"/>
            <wp:docPr descr="A 2-column table with 5 rows of data. " title="" id="26" name="Picture"/>
            <a:graphic>
              <a:graphicData uri="http://schemas.openxmlformats.org/drawingml/2006/picture">
                <pic:pic>
                  <pic:nvPicPr>
                    <pic:cNvPr descr="/app/tmp/embedder-1671032440.570931.png" id="27" name="Picture"/>
                    <pic:cNvPicPr>
                      <a:picLocks noChangeArrowheads="1" noChangeAspect="1"/>
                    </pic:cNvPicPr>
                  </pic:nvPicPr>
                  <pic:blipFill>
                    <a:blip r:embed="rId2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91240" cy="2097921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2"/>
        </w:numPr>
        <w:pStyle w:val="Compact"/>
      </w:pPr>
      <w:r>
        <w:t xml:space="preserve">What is the meaning of the 18 that appears in the table?</w:t>
      </w:r>
    </w:p>
    <w:p>
      <w:pPr>
        <w:numPr>
          <w:ilvl w:val="0"/>
          <w:numId w:val="1002"/>
        </w:numPr>
        <w:pStyle w:val="Compact"/>
      </w:pPr>
      <w:r>
        <w:t xml:space="preserve">Why was the number</w:t>
      </w:r>
      <w:r>
        <w:t xml:space="preserve"> </w:t>
      </w:r>
      <m:oMath>
        <m:f>
          <m:fPr>
            <m:type m:val="bar"/>
          </m:fPr>
          <m:num>
            <m:r>
              <m:t>1</m:t>
            </m:r>
          </m:num>
          <m:den>
            <m:r>
              <m:t>5</m:t>
            </m:r>
          </m:den>
        </m:f>
      </m:oMath>
      <w:r>
        <w:t xml:space="preserve"> </w:t>
      </w:r>
      <w:r>
        <w:t xml:space="preserve">used as a multiplier?</w:t>
      </w:r>
    </w:p>
    <w:p>
      <w:pPr>
        <w:numPr>
          <w:ilvl w:val="0"/>
          <w:numId w:val="1002"/>
        </w:numPr>
        <w:pStyle w:val="Compact"/>
      </w:pPr>
      <w:r>
        <w:t xml:space="preserve">Explain how Lin used this table to solve the problem.</w:t>
      </w:r>
    </w:p>
    <w:p>
      <w:pPr>
        <w:numPr>
          <w:ilvl w:val="0"/>
          <w:numId w:val="1002"/>
        </w:numPr>
      </w:pPr>
      <w:r>
        <w:t xml:space="preserve">At this rate, how much would Lin be paid for 3 hours of work? For 2.1 hours of work?</w:t>
      </w:r>
    </w:p>
    <w:bookmarkEnd w:id="28"/>
    <w:bookmarkEnd w:id="29"/>
    <w:bookmarkStart w:id="37" w:name="zenos-memory-card-optional"/>
    <w:p>
      <w:pPr>
        <w:pStyle w:val="Heading3"/>
      </w:pPr>
      <w:r>
        <w:t xml:space="preserve">4 Zeno’s Memory Card (Optional)</w:t>
      </w:r>
    </w:p>
    <w:bookmarkStart w:id="36" w:name="student-task-statement-3"/>
    <w:p>
      <w:pPr>
        <w:pStyle w:val="Heading4"/>
      </w:pPr>
      <w:r>
        <w:t xml:space="preserve">Student Task Statement</w:t>
      </w:r>
    </w:p>
    <w:p>
      <w:pPr>
        <w:pStyle w:val="FirstParagraph"/>
      </w:pPr>
      <w:r>
        <w:t xml:space="preserve">In 2016, 128 gigabytes (GB) of portable computer memory cost</w:t>
      </w:r>
      <w:r>
        <w:t xml:space="preserve"> </w:t>
      </w:r>
      <w:r>
        <w:t xml:space="preserve">$</w:t>
      </w:r>
      <w:r>
        <w:t xml:space="preserve">32.</w:t>
      </w:r>
    </w:p>
    <w:p>
      <w:pPr>
        <w:numPr>
          <w:ilvl w:val="0"/>
          <w:numId w:val="1003"/>
        </w:numPr>
      </w:pPr>
      <w:r>
        <w:t xml:space="preserve">Here is a double number line that represents the situation: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5943600" cy="1169376"/>
            <wp:effectExtent b="0" l="0" r="0" t="0"/>
            <wp:docPr descr="A double number line: For &quot;memory, in gigabytes&quot; the numbers 0, 64, and 128 are indicated. For &quot;cost, in dollars&quot; the numbers 0, 16, and 32 are indicated." title="" id="31" name="Picture"/>
            <a:graphic>
              <a:graphicData uri="http://schemas.openxmlformats.org/drawingml/2006/picture">
                <pic:pic>
                  <pic:nvPicPr>
                    <pic:cNvPr descr="/app/tmp/embedder-1671032440.5894268.png" id="32" name="Picture"/>
                    <pic:cNvPicPr>
                      <a:picLocks noChangeArrowheads="1" noChangeAspect="1"/>
                    </pic:cNvPicPr>
                  </pic:nvPicPr>
                  <pic:blipFill>
                    <a:blip r:embed="rId3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1169376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0"/>
        </w:numPr>
      </w:pPr>
      <w:r>
        <w:t xml:space="preserve">One set of tick marks has already been drawn to show the result of multiplying 128 and 32 each by</w:t>
      </w:r>
      <w:r>
        <w:t xml:space="preserve"> </w:t>
      </w:r>
      <m:oMath>
        <m:f>
          <m:fPr>
            <m:type m:val="bar"/>
          </m:fPr>
          <m:num>
            <m:r>
              <m:t>1</m:t>
            </m:r>
          </m:num>
          <m:den>
            <m:r>
              <m:t>2</m:t>
            </m:r>
          </m:den>
        </m:f>
      </m:oMath>
      <w:r>
        <w:t xml:space="preserve">. Label the amount of memory and the cost for these tick marks.</w:t>
      </w:r>
    </w:p>
    <w:p>
      <w:pPr>
        <w:numPr>
          <w:ilvl w:val="0"/>
          <w:numId w:val="1000"/>
        </w:numPr>
      </w:pPr>
      <w:r>
        <w:t xml:space="preserve">Next, keep multiplying by</w:t>
      </w:r>
      <w:r>
        <w:t xml:space="preserve"> </w:t>
      </w:r>
      <m:oMath>
        <m:f>
          <m:fPr>
            <m:type m:val="bar"/>
          </m:fPr>
          <m:num>
            <m:r>
              <m:t>1</m:t>
            </m:r>
          </m:num>
          <m:den>
            <m:r>
              <m:t>2</m:t>
            </m:r>
          </m:den>
        </m:f>
      </m:oMath>
      <w:r>
        <w:t xml:space="preserve"> </w:t>
      </w:r>
      <w:r>
        <w:t xml:space="preserve">and drawing and labeling new tick marks, until you can no longer clearly label each new tick mark with a number.</w:t>
      </w:r>
    </w:p>
    <w:p>
      <w:pPr>
        <w:numPr>
          <w:ilvl w:val="0"/>
          <w:numId w:val="1003"/>
        </w:numPr>
      </w:pPr>
      <w:r>
        <w:t xml:space="preserve">Here is a table that represents the situation. Find the cost of 1 gigabyte. You can use as many rows as you need.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3960"/>
        <w:gridCol w:w="3960"/>
      </w:tblGrid>
      <w:tr>
        <w:trPr>
          <w:tblHeader w:val="true"/>
        </w:trPr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memory (gigabytes)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cost (dollars)</w:t>
            </w:r>
          </w:p>
        </w:tc>
      </w:tr>
      <w:tr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128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32</w:t>
            </w:r>
          </w:p>
        </w:tc>
      </w:tr>
      <w:tr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</w:tr>
      <w:tr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</w:tr>
      <w:tr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</w:tr>
      <w:tr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</w:tr>
      <w:tr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</w:tr>
      <w:tr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</w:tr>
      <w:tr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</w:tr>
    </w:tbl>
    <w:p>
      <w:pPr>
        <w:numPr>
          <w:ilvl w:val="0"/>
          <w:numId w:val="1003"/>
        </w:numPr>
        <w:pStyle w:val="Compact"/>
      </w:pPr>
      <w:r>
        <w:t xml:space="preserve">Did you prefer the double number line or the table for solving this problem? Why?</w:t>
      </w:r>
    </w:p>
    <w:p>
      <w:pPr>
        <w:pStyle w:val="FirstParagraph"/>
      </w:pPr>
      <w:r>
        <w:drawing>
          <wp:inline>
            <wp:extent cx="762000" cy="266700"/>
            <wp:effectExtent b="0" l="0" r="0" t="0"/>
            <wp:docPr descr="" title="" id="34" name="Picture"/>
            <a:graphic>
              <a:graphicData uri="http://schemas.openxmlformats.org/drawingml/2006/picture">
                <pic:pic>
                  <pic:nvPicPr>
                    <pic:cNvPr descr="/app/app/assets/images/export/ccby_logo_small.png" id="35" name="Picture"/>
                    <pic:cNvPicPr>
                      <a:picLocks noChangeArrowheads="1" noChangeAspect="1"/>
                    </pic:cNvPicPr>
                  </pic:nvPicPr>
                  <pic:blipFill>
                    <a:blip r:embed="rId3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© CC BY Open Up Resources. Adaptations CC BY IM.</w:t>
      </w:r>
    </w:p>
    <w:bookmarkEnd w:id="36"/>
    <w:bookmarkEnd w:id="37"/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  <w:num w:numId="1001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2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3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33" Target="media/rId33.png" /><Relationship Type="http://schemas.openxmlformats.org/officeDocument/2006/relationships/image" Id="rId25" Target="media/rId25.png" /><Relationship Type="http://schemas.openxmlformats.org/officeDocument/2006/relationships/image" Id="rId30" Target="media/rId30.pn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2022-12-14T15:40:41Z</dcterms:created>
  <dcterms:modified xsi:type="dcterms:W3CDTF">2022-12-14T15:40:41Z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rf-param">
    <vt:lpwstr>authenticity_token</vt:lpwstr>
  </property>
  <property fmtid="{D5CDD505-2E9C-101B-9397-08002B2CF9AE}" pid="3" name="csrf-token">
    <vt:lpwstr>1k+VPZ/iQwHYefCVDvw8p3sPDKnBcMdBIApyJtcBebfyS9Bk82q7XB2dU4tfmBDPQud1L9X6mlqlgJdWow566g==</vt:lpwstr>
  </property>
</Properties>
</file>