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1252a9f0ac4fad6d454e9e37daa207072ed783b"/>
    <w:p>
      <w:pPr>
        <w:pStyle w:val="Heading1"/>
      </w:pPr>
      <w:r>
        <w:t xml:space="preserve">Lesson 5: Compongamos y descompongamos números hasta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 2.NBT.A.1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within 1,000.</w:t>
      </w:r>
    </w:p>
    <w:p>
      <w:pPr>
        <w:numPr>
          <w:ilvl w:val="0"/>
          <w:numId w:val="1001"/>
        </w:numPr>
        <w:pStyle w:val="Compact"/>
      </w:pPr>
      <w:r>
        <w:t xml:space="preserve">Represent numbers within 1,000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números de muchas maneras diferentes.</w:t>
      </w:r>
    </w:p>
    <w:bookmarkEnd w:id="25"/>
    <w:bookmarkStart w:id="26" w:name="lesson-purpose"/>
    <w:p>
      <w:pPr>
        <w:pStyle w:val="Heading3"/>
      </w:pPr>
      <w:r>
        <w:t xml:space="preserve">Lesson Purpose</w:t>
      </w:r>
    </w:p>
    <w:p>
      <w:pPr>
        <w:pStyle w:val="FirstParagraph"/>
      </w:pPr>
      <w:r>
        <w:t xml:space="preserve">The purpose of this lesson is for students to compose and decompose three-digit numbers in different ways.</w:t>
      </w:r>
    </w:p>
    <w:p>
      <w:pPr>
        <w:pStyle w:val="BodyText"/>
      </w:pPr>
      <w:r>
        <w:t xml:space="preserve">In previous units, students represented three-digit numbers by composing and decomposing units using base-ten blocks, base-ten diagrams, and equations.</w:t>
      </w:r>
    </w:p>
    <w:p>
      <w:pPr>
        <w:pStyle w:val="BodyText"/>
      </w:pPr>
      <w:r>
        <w:t xml:space="preserve">In this lesson, students compose and decompose three-digit numbers using base-ten blocks and other representations that make sense to them. Throughout the lesson, students are encouraged to show and deepen their understanding of place value by composing and decomposing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section, students are working to develop fluency when adding and subtracting within 100. How does the work of the lesson help deepen students understanding of place value? How will the work of this lesson help students become more fluent when adding and subtracting within 100?</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Doscientos sesenta y tres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w:t>
            </w:r>
          </w:p>
        </w:tc>
      </w:tr>
    </w:tbl>
    <w:bookmarkEnd w:id="40"/>
    <w:bookmarkStart w:id="47" w:name="student-facing-task-statement"/>
    <w:p>
      <w:pPr>
        <w:pStyle w:val="Heading3"/>
      </w:pPr>
      <w:r>
        <w:t xml:space="preserve">Student-facing Task Statement</w:t>
      </w:r>
    </w:p>
    <w:p>
      <w:pPr>
        <w:numPr>
          <w:ilvl w:val="0"/>
          <w:numId w:val="1005"/>
        </w:numPr>
        <w:pStyle w:val="Compact"/>
      </w:pPr>
      <w:r>
        <w:t xml:space="preserve">Marca las representaciones que muestran 263.</w:t>
      </w:r>
    </w:p>
    <w:p>
      <w:pPr>
        <w:numPr>
          <w:ilvl w:val="1"/>
          <w:numId w:val="1006"/>
        </w:numPr>
        <w:pStyle w:val="Compact"/>
      </w:pPr>
      <w:r>
        <w:drawing>
          <wp:inline>
            <wp:extent cx="5943600" cy="1005845"/>
            <wp:effectExtent b="0" l="0" r="0" t="0"/>
            <wp:docPr descr="" title="" id="42" name="Picture"/>
            <a:graphic>
              <a:graphicData uri="http://schemas.openxmlformats.org/drawingml/2006/picture">
                <pic:pic>
                  <pic:nvPicPr>
                    <pic:cNvPr descr="/app/tmp/embedder-1671059897.8086038.png" id="43" name="Picture"/>
                    <pic:cNvPicPr>
                      <a:picLocks noChangeArrowheads="1" noChangeAspect="1"/>
                    </pic:cNvPicPr>
                  </pic:nvPicPr>
                  <pic:blipFill>
                    <a:blip r:embed="rId41"/>
                    <a:stretch>
                      <a:fillRect/>
                    </a:stretch>
                  </pic:blipFill>
                  <pic:spPr bwMode="auto">
                    <a:xfrm>
                      <a:off x="0" y="0"/>
                      <a:ext cx="5943600" cy="1005845"/>
                    </a:xfrm>
                    <a:prstGeom prst="rect">
                      <a:avLst/>
                    </a:prstGeom>
                    <a:noFill/>
                    <a:ln w="9525">
                      <a:noFill/>
                      <a:headEnd/>
                      <a:tailEnd/>
                    </a:ln>
                  </pic:spPr>
                </pic:pic>
              </a:graphicData>
            </a:graphic>
          </wp:inline>
        </w:drawing>
      </w:r>
    </w:p>
    <w:p>
      <w:pPr>
        <w:numPr>
          <w:ilvl w:val="1"/>
          <w:numId w:val="1006"/>
        </w:numPr>
        <w:pStyle w:val="Compact"/>
      </w:pPr>
      <w:r>
        <w:drawing>
          <wp:inline>
            <wp:extent cx="4457700" cy="1005845"/>
            <wp:effectExtent b="0" l="0" r="0" t="0"/>
            <wp:docPr descr="" title="" id="45" name="Picture"/>
            <a:graphic>
              <a:graphicData uri="http://schemas.openxmlformats.org/drawingml/2006/picture">
                <pic:pic>
                  <pic:nvPicPr>
                    <pic:cNvPr descr="/app/tmp/embedder-1671059897.8750474.png" id="46" name="Picture"/>
                    <pic:cNvPicPr>
                      <a:picLocks noChangeArrowheads="1" noChangeAspect="1"/>
                    </pic:cNvPicPr>
                  </pic:nvPicPr>
                  <pic:blipFill>
                    <a:blip r:embed="rId44"/>
                    <a:stretch>
                      <a:fillRect/>
                    </a:stretch>
                  </pic:blipFill>
                  <pic:spPr bwMode="auto">
                    <a:xfrm>
                      <a:off x="0" y="0"/>
                      <a:ext cx="4457700" cy="1005845"/>
                    </a:xfrm>
                    <a:prstGeom prst="rect">
                      <a:avLst/>
                    </a:prstGeom>
                    <a:noFill/>
                    <a:ln w="9525">
                      <a:noFill/>
                      <a:headEnd/>
                      <a:tailEnd/>
                    </a:ln>
                  </pic:spPr>
                </pic:pic>
              </a:graphicData>
            </a:graphic>
          </wp:inline>
        </w:drawing>
      </w:r>
    </w:p>
    <w:p>
      <w:pPr>
        <w:numPr>
          <w:ilvl w:val="1"/>
          <w:numId w:val="1006"/>
        </w:numPr>
      </w:pPr>
      <w:r>
        <w:t xml:space="preserve">2 centenas + 4 decenas + 23 unidades</w:t>
      </w:r>
    </w:p>
    <w:p>
      <w:pPr>
        <w:numPr>
          <w:ilvl w:val="0"/>
          <w:numId w:val="1005"/>
        </w:numPr>
        <w:pStyle w:val="Compact"/>
      </w:pPr>
      <w:r>
        <w:t xml:space="preserve">Representa 263 de otra manera.</w:t>
      </w:r>
    </w:p>
    <w:bookmarkEnd w:id="47"/>
    <w:bookmarkStart w:id="48" w:name="student-responses"/>
    <w:p>
      <w:pPr>
        <w:pStyle w:val="Heading3"/>
      </w:pPr>
      <w:r>
        <w:t xml:space="preserve">Student Responses</w:t>
      </w:r>
    </w:p>
    <w:p>
      <w:pPr>
        <w:numPr>
          <w:ilvl w:val="0"/>
          <w:numId w:val="1007"/>
        </w:numPr>
        <w:pStyle w:val="Compact"/>
      </w:pPr>
      <w:r>
        <w:t xml:space="preserve">B, C</w:t>
      </w:r>
    </w:p>
    <w:p>
      <w:pPr>
        <w:numPr>
          <w:ilvl w:val="0"/>
          <w:numId w:val="1007"/>
        </w:numPr>
        <w:pStyle w:val="Compact"/>
      </w:pPr>
      <w:r>
        <w:t xml:space="preserve">Sample responses:</w:t>
      </w:r>
    </w:p>
    <w:p>
      <w:pPr>
        <w:numPr>
          <w:ilvl w:val="1"/>
          <w:numId w:val="1008"/>
        </w:numPr>
        <w:pStyle w:val="Compact"/>
      </w:pPr>
      <w:r>
        <w:t xml:space="preserve">1 hundred + 16 tens + 3 ones</w:t>
      </w:r>
    </w:p>
    <w:p>
      <w:pPr>
        <w:numPr>
          <w:ilvl w:val="1"/>
          <w:numId w:val="1008"/>
        </w:numPr>
        <w:pStyle w:val="Compact"/>
      </w:pPr>
      <m:oMath>
        <m:r>
          <m:t>200</m:t>
        </m:r>
        <m:r>
          <m:rPr>
            <m:sty m:val="p"/>
          </m:rPr>
          <m:t>+</m:t>
        </m:r>
        <m:r>
          <m:t>60</m:t>
        </m:r>
        <m:r>
          <m:rPr>
            <m:sty m:val="p"/>
          </m:rPr>
          <m:t>+</m:t>
        </m:r>
        <m:r>
          <m:t>3</m:t>
        </m:r>
      </m:oMath>
    </w:p>
    <w:p>
      <w:pPr>
        <w:numPr>
          <w:ilvl w:val="1"/>
          <w:numId w:val="1008"/>
        </w:numPr>
        <w:pStyle w:val="Compact"/>
      </w:pPr>
      <w:r>
        <w:t xml:space="preserve">Students draw a base-ten diagram that shows 2 hundreds, 6 tens and 3 ones.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2022-12-14T23:18:18Z</dcterms:created>
  <dcterms:modified xsi:type="dcterms:W3CDTF">2022-12-14T23:18:18Z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Q1dQiaBf2QRlX6FSFNfeJo7Tic0Kn+7AGTfffO/zlGtnUxXQzNchWaC7AkxFs/JOtzvwSx4Vs9ucvToMm/yXNg==</vt:lpwstr>
  </property>
</Properties>
</file>