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5-varios-tipos-de-fracciones"/>
    <w:p>
      <w:pPr>
        <w:pStyle w:val="Heading1"/>
      </w:pPr>
      <w:r>
        <w:t xml:space="preserve">Lesson 15: Varios tipos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4.NF.A.1, 4.NF.B.3.c, 4.NF.B.3.d, 4.NF.B.4</w:t>
            </w:r>
          </w:p>
        </w:tc>
      </w:tr>
      <w:tr>
        <w:tc>
          <w:tcPr/>
          <w:p>
            <w:pPr>
              <w:pStyle w:val="Compact"/>
              <w:jc w:val="left"/>
            </w:pPr>
            <w:r>
              <w:t xml:space="preserve">Addressing</w:t>
            </w:r>
          </w:p>
        </w:tc>
        <w:tc>
          <w:tcPr/>
          <w:p>
            <w:pPr>
              <w:pStyle w:val="Compact"/>
              <w:jc w:val="left"/>
            </w:pPr>
            <w:r>
              <w:t xml:space="preserve">4.NF.A.1, 4.NF.A.2, 4.NF.B.3.d</w:t>
            </w:r>
          </w:p>
        </w:tc>
      </w:tr>
      <w:tr>
        <w:tc>
          <w:tcPr/>
          <w:p>
            <w:pPr>
              <w:pStyle w:val="Compact"/>
              <w:jc w:val="left"/>
            </w:pPr>
            <w:r>
              <w:t xml:space="preserve">Building Towards</w:t>
            </w:r>
          </w:p>
        </w:tc>
        <w:tc>
          <w:tcPr/>
          <w:p>
            <w:pPr>
              <w:pStyle w:val="Compact"/>
              <w:jc w:val="left"/>
            </w:pPr>
            <w:r>
              <w:t xml:space="preserve">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equivalence to reason about addition and subtraction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las alturas de pilas de objetos.</w:t>
      </w:r>
    </w:p>
    <w:bookmarkEnd w:id="25"/>
    <w:bookmarkStart w:id="26" w:name="lesson-purpose"/>
    <w:p>
      <w:pPr>
        <w:pStyle w:val="Heading3"/>
      </w:pPr>
      <w:r>
        <w:t xml:space="preserve">Lesson Purpose</w:t>
      </w:r>
    </w:p>
    <w:p>
      <w:pPr>
        <w:pStyle w:val="FirstParagraph"/>
      </w:pPr>
      <w:r>
        <w:t xml:space="preserve">The purpose of this lesson is for students to use equivalence to reason about problems that involve combining or removing fractional amounts.</w:t>
      </w:r>
    </w:p>
    <w:p>
      <w:pPr>
        <w:pStyle w:val="BodyText"/>
      </w:pPr>
      <w:r>
        <w:t xml:space="preserve">In a previous unit, students learned to recognize and generate equivalent fractions. Earlier in this unit, they learned to add and subtract fractions with the same denominator, seeing these operations as joining and separating parts of the same whole. In this lesson, students encounter situations that involve combining and removing fractions with different denominators (limited to 2, 3, 4, 6, and 8), prompting them to rely on their understanding about equivalence to reason about the problems. This work prepares students to use equivalent fractions to join tenths and hundredths in upcoming lessons.</w:t>
      </w:r>
    </w:p>
    <w:p>
      <w:pPr>
        <w:pStyle w:val="BodyText"/>
      </w:pPr>
      <w:r>
        <w:t xml:space="preserve">Students are not expected to reason symbolically, or to write fractional expressions with different denominators and then rewrite them with a common denominator. Instead, they reason using their intuitive understanding of equivalence, which they have begun to build since grade 3, and with the support of visual representations as needed.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activities in today’s lesson prepare students to add tenths and hundredths in the next lesson? How will you connect the ideas around equivalent fractions to upcoming work?</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pila es más alta?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 4.NF.B.3.d</w:t>
            </w:r>
          </w:p>
        </w:tc>
      </w:tr>
    </w:tbl>
    <w:bookmarkEnd w:id="43"/>
    <w:bookmarkStart w:id="44" w:name="student-facing-task-statement"/>
    <w:p>
      <w:pPr>
        <w:pStyle w:val="Heading3"/>
      </w:pPr>
      <w:r>
        <w:t xml:space="preserve">Student-facing Task Statement</w:t>
      </w:r>
    </w:p>
    <w:p>
      <w:pPr>
        <w:pStyle w:val="FirstParagraph"/>
      </w:pPr>
      <w:r>
        <w:t xml:space="preserve">¿Cuál pila de bloques de espuma es más alta?</w:t>
      </w:r>
    </w:p>
    <w:p>
      <w:pPr>
        <w:numPr>
          <w:ilvl w:val="0"/>
          <w:numId w:val="1005"/>
        </w:numPr>
        <w:pStyle w:val="Compact"/>
      </w:pPr>
      <w:r>
        <w:t xml:space="preserve">Una pila de dos bloques de </w:t>
      </w:r>
      <m:oMath>
        <m:f>
          <m:fPr>
            <m:type m:val="bar"/>
          </m:fPr>
          <m:num>
            <m:r>
              <m:t>1</m:t>
            </m:r>
          </m:num>
          <m:den>
            <m:r>
              <m:t>3</m:t>
            </m:r>
          </m:den>
        </m:f>
      </m:oMath>
      <w:r>
        <w:t xml:space="preserve"> de pie y un bloque de</w:t>
      </w:r>
      <w:r>
        <w:t xml:space="preserve"> </w:t>
      </w:r>
      <m:oMath>
        <m:f>
          <m:fPr>
            <m:type m:val="bar"/>
          </m:fPr>
          <m:num>
            <m:r>
              <m:t>1</m:t>
            </m:r>
          </m:num>
          <m:den>
            <m:r>
              <m:t>6</m:t>
            </m:r>
          </m:den>
        </m:f>
      </m:oMath>
      <w:r>
        <w:t xml:space="preserve"> de pie, o</w:t>
      </w:r>
    </w:p>
    <w:p>
      <w:pPr>
        <w:numPr>
          <w:ilvl w:val="0"/>
          <w:numId w:val="1005"/>
        </w:numPr>
        <w:pStyle w:val="Compact"/>
      </w:pPr>
      <w:r>
        <w:t xml:space="preserve">una pila de un bloque de </w:t>
      </w:r>
      <m:oMath>
        <m:f>
          <m:fPr>
            <m:type m:val="bar"/>
          </m:fPr>
          <m:num>
            <m:r>
              <m:t>1</m:t>
            </m:r>
          </m:num>
          <m:den>
            <m:r>
              <m:t>2</m:t>
            </m:r>
          </m:den>
        </m:f>
      </m:oMath>
      <w:r>
        <w:t xml:space="preserve"> pie y dos bloques de</w:t>
      </w:r>
      <w:r>
        <w:t xml:space="preserve"> </w:t>
      </w:r>
      <m:oMath>
        <m:f>
          <m:fPr>
            <m:type m:val="bar"/>
          </m:fPr>
          <m:num>
            <m:r>
              <m:t>1</m:t>
            </m:r>
          </m:num>
          <m:den>
            <m:r>
              <m:t>6</m:t>
            </m:r>
          </m:den>
        </m:f>
      </m:oMath>
      <w:r>
        <w:t xml:space="preserve"> de pie.</w:t>
      </w:r>
    </w:p>
    <w:p>
      <w:pPr>
        <w:pStyle w:val="FirstParagraph"/>
      </w:pPr>
      <w:r>
        <w:t xml:space="preserve">Explica o muestra tu razonamiento.</w:t>
      </w:r>
    </w:p>
    <w:bookmarkEnd w:id="44"/>
    <w:bookmarkStart w:id="45" w:name="student-responses"/>
    <w:p>
      <w:pPr>
        <w:pStyle w:val="Heading3"/>
      </w:pPr>
      <w:r>
        <w:t xml:space="preserve">Student Responses</w:t>
      </w:r>
    </w:p>
    <w:p>
      <w:pPr>
        <w:pStyle w:val="FirstParagraph"/>
      </w:pPr>
      <w:r>
        <w:t xml:space="preserve">They are the same height. Sample reasoning: First stack:</w:t>
      </w:r>
      <w:r>
        <w:t xml:space="preserve"> </w:t>
      </w:r>
      <m:oMath>
        <m:r>
          <m:t>2</m:t>
        </m:r>
        <m:r>
          <m:rPr>
            <m:sty m:val="p"/>
          </m:rPr>
          <m:t>×</m:t>
        </m:r>
        <m:f>
          <m:fPr>
            <m:type m:val="bar"/>
          </m:fPr>
          <m:num>
            <m:r>
              <m:t>1</m:t>
            </m:r>
          </m:num>
          <m:den>
            <m:r>
              <m:t>3</m:t>
            </m:r>
          </m:den>
        </m:f>
        <m:r>
          <m:rPr>
            <m:sty m:val="p"/>
          </m:rPr>
          <m:t>=</m:t>
        </m:r>
        <m:f>
          <m:fPr>
            <m:type m:val="bar"/>
          </m:fPr>
          <m:num>
            <m:r>
              <m:t>2</m:t>
            </m:r>
          </m:num>
          <m:den>
            <m:r>
              <m:t>3</m:t>
            </m:r>
          </m:den>
        </m:f>
      </m:oMath>
      <w:r>
        <w:t xml:space="preserve">, which is equivalent to</w:t>
      </w:r>
      <w:r>
        <w:t xml:space="preserve"> </w:t>
      </w:r>
      <m:oMath>
        <m:f>
          <m:fPr>
            <m:type m:val="bar"/>
          </m:fPr>
          <m:num>
            <m:r>
              <m:t>4</m:t>
            </m:r>
          </m:num>
          <m:den>
            <m:r>
              <m:t>6</m:t>
            </m:r>
          </m:den>
        </m:f>
      </m:oMath>
      <w:r>
        <w:t xml:space="preserve">. Adding another</w:t>
      </w:r>
      <w:r>
        <w:t xml:space="preserve"> </w:t>
      </w:r>
      <m:oMath>
        <m:f>
          <m:fPr>
            <m:type m:val="bar"/>
          </m:fPr>
          <m:num>
            <m:r>
              <m:t>1</m:t>
            </m:r>
          </m:num>
          <m:den>
            <m:r>
              <m:t>6</m:t>
            </m:r>
          </m:den>
        </m:f>
      </m:oMath>
      <w:r>
        <w:t xml:space="preserve"> </w:t>
      </w:r>
      <w:r>
        <w:t xml:space="preserve">makes</w:t>
      </w:r>
      <w:r>
        <w:t xml:space="preserve"> </w:t>
      </w:r>
      <m:oMath>
        <m:f>
          <m:fPr>
            <m:type m:val="bar"/>
          </m:fPr>
          <m:num>
            <m:r>
              <m:t>5</m:t>
            </m:r>
          </m:num>
          <m:den>
            <m:r>
              <m:t>6</m:t>
            </m:r>
          </m:den>
        </m:f>
      </m:oMath>
      <w:r>
        <w:t xml:space="preserve">. Second stack:</w:t>
      </w:r>
      <w:r>
        <w:t xml:space="preserve"> </w:t>
      </w:r>
      <m:oMath>
        <m:f>
          <m:fPr>
            <m:type m:val="bar"/>
          </m:fPr>
          <m:num>
            <m:r>
              <m:t>1</m:t>
            </m:r>
          </m:num>
          <m:den>
            <m:r>
              <m:t>2</m:t>
            </m:r>
          </m:den>
        </m:f>
      </m:oMath>
      <w:r>
        <w:t xml:space="preserve"> </w:t>
      </w:r>
      <w:r>
        <w:t xml:space="preserve">is equivalent to</w:t>
      </w:r>
      <w:r>
        <w:t xml:space="preserve"> </w:t>
      </w:r>
      <m:oMath>
        <m:f>
          <m:fPr>
            <m:type m:val="bar"/>
          </m:fPr>
          <m:num>
            <m:r>
              <m:t>3</m:t>
            </m:r>
          </m:num>
          <m:den>
            <m:r>
              <m:t>6</m:t>
            </m:r>
          </m:den>
        </m:f>
      </m:oMath>
      <w:r>
        <w:t xml:space="preserve">. Adding another</w:t>
      </w:r>
      <w:r>
        <w:t xml:space="preserve"> </w:t>
      </w:r>
      <m:oMath>
        <m:f>
          <m:fPr>
            <m:type m:val="bar"/>
          </m:fPr>
          <m:num>
            <m:r>
              <m:t>2</m:t>
            </m:r>
          </m:num>
          <m:den>
            <m:r>
              <m:t>6</m:t>
            </m:r>
          </m:den>
        </m:f>
      </m:oMath>
      <w:r>
        <w:t xml:space="preserve"> </w:t>
      </w:r>
      <w:r>
        <w:t xml:space="preserve">makes</w:t>
      </w:r>
      <w:r>
        <w:t xml:space="preserve"> </w:t>
      </w:r>
      <m:oMath>
        <m:f>
          <m:fPr>
            <m:type m:val="bar"/>
          </m:fPr>
          <m:num>
            <m:r>
              <m:t>5</m:t>
            </m:r>
          </m:num>
          <m:den>
            <m:r>
              <m:t>6</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2022-12-15T00:21:16Z</dcterms:created>
  <dcterms:modified xsi:type="dcterms:W3CDTF">2022-12-15T00:21:16Z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KWOrvVReeUnWulZRZ1PpsKWh4sV/LxkhsWNEOM2z1KINZ+7kONaBFBNe9U82N8XYnEmbQ2ulRDo06aFIubzX/w==</vt:lpwstr>
  </property>
</Properties>
</file>