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36.svg" ContentType="image/svg+xml;base64"/>
  <Override PartName="/word/media/rId32.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contemos-y-sumemos"/>
    <w:p>
      <w:pPr>
        <w:pStyle w:val="Heading1"/>
      </w:pPr>
      <w:r>
        <w:t xml:space="preserve">Lesson 1: Contemos y sumemos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r>
        <w:tc>
          <w:tcPr/>
          <w:p>
            <w:pPr>
              <w:pStyle w:val="Compact"/>
              <w:jc w:val="left"/>
            </w:pPr>
            <w:r>
              <w:t xml:space="preserve">Building Towards</w:t>
            </w:r>
          </w:p>
        </w:tc>
        <w:tc>
          <w:tcPr/>
          <w:p>
            <w:pPr>
              <w:pStyle w:val="Compact"/>
              <w:jc w:val="left"/>
            </w:pPr>
            <w:r>
              <w:t xml:space="preserve">1.OA.C.5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represent a collection of objects.</w:t>
      </w:r>
    </w:p>
    <w:p>
      <w:pPr>
        <w:numPr>
          <w:ilvl w:val="0"/>
          <w:numId w:val="1001"/>
        </w:numPr>
        <w:pStyle w:val="Compact"/>
      </w:pPr>
      <w:r>
        <w:t xml:space="preserve">Relate counting to addition.</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objetos.</w:t>
      </w:r>
    </w:p>
    <w:bookmarkEnd w:id="25"/>
    <w:bookmarkStart w:id="26" w:name="lesson-purpose"/>
    <w:p>
      <w:pPr>
        <w:pStyle w:val="Heading3"/>
      </w:pPr>
      <w:r>
        <w:t xml:space="preserve">Lesson Purpose</w:t>
      </w:r>
    </w:p>
    <w:p>
      <w:pPr>
        <w:pStyle w:val="FirstParagraph"/>
      </w:pPr>
      <w:r>
        <w:t xml:space="preserve">The purpose of this lesson is for students to count objects and relate counting to addition. </w:t>
      </w:r>
    </w:p>
    <w:p>
      <w:pPr>
        <w:pStyle w:val="BodyText"/>
      </w:pPr>
      <w:r>
        <w:t xml:space="preserve">Students revisit counting collections, which is an activity introduced in kindergarten. Students count and represent objects in a way that makes sense to them. Students then count dots on two dot cubes to find the total. Together, they relate counting to addition, as the teacher writes expressions to represent the total number of dots on the two cubes (MP2). A 10-frame is provided as a blackline master. Students used 10-frames in kindergarten and may choose to use them throughout this section. Consider making copies on cardstock or laminating them so they can be used repeatedly.</w:t>
      </w:r>
    </w:p>
    <w:p>
      <w:pPr>
        <w:pStyle w:val="BodyText"/>
      </w:pPr>
      <w:r>
        <w:t xml:space="preserve">Throughout the lesson, observe students for the look fors on the Section A Checkpoint Assessment, which can be used throughout the section.</w:t>
      </w:r>
    </w:p>
    <w:bookmarkEnd w:id="26"/>
    <w:bookmarkStart w:id="30" w:name="math-community"/>
    <w:p>
      <w:pPr>
        <w:pStyle w:val="Heading3"/>
      </w:pPr>
      <w:r>
        <w:t xml:space="preserve">Math Community</w:t>
      </w:r>
    </w:p>
    <w:p>
      <w:pPr>
        <w:pStyle w:val="FirstParagraph"/>
      </w:pPr>
      <w:r>
        <w:t xml:space="preserve">In the lesson synthesis, students discuss  what it means to be a part of a mathematical community. Prepare a space, such as a piece of poster paper, titled</w:t>
      </w:r>
      <w:r>
        <w:t xml:space="preserve"> </w:t>
      </w:r>
      <w:r>
        <w:rPr>
          <w:iCs/>
          <w:i/>
        </w:rPr>
        <w:t xml:space="preserve">“Comunidad matemática” //</w:t>
      </w:r>
      <w:r>
        <w:t xml:space="preserve"> </w:t>
      </w:r>
      <w:r>
        <w:t xml:space="preserve">“Math Community”​ ​and a T-chart with the header</w:t>
      </w:r>
      <w:r>
        <w:t xml:space="preserve"> </w:t>
      </w:r>
      <w:r>
        <w:rPr>
          <w:iCs/>
          <w:i/>
        </w:rPr>
        <w:t xml:space="preserve">“Hacer matemáticas” //</w:t>
      </w:r>
      <w:r>
        <w:t xml:space="preserve"> </w:t>
      </w:r>
      <w:r>
        <w:t xml:space="preserve">“Doing Math.”​ ​Partition the column into two sections: students and teacher.</w:t>
      </w:r>
    </w:p>
    <w:p>
      <w:pPr>
        <w:pStyle w:val="BodyText"/>
      </w:pPr>
      <w:r>
        <w:drawing>
          <wp:inline>
            <wp:extent cx="5498632" cy="2363983"/>
            <wp:effectExtent b="0" l="0" r="0" t="0"/>
            <wp:docPr descr="Chart" title="" id="28" name="Picture"/>
            <a:graphic>
              <a:graphicData uri="http://schemas.openxmlformats.org/drawingml/2006/picture">
                <pic:pic>
                  <pic:nvPicPr>
                    <pic:cNvPr descr="/app/tmp/embedder-1671058439.3420475.png" id="29" name="Picture"/>
                    <pic:cNvPicPr>
                      <a:picLocks noChangeArrowheads="1" noChangeAspect="1"/>
                    </pic:cNvPicPr>
                  </pic:nvPicPr>
                  <pic:blipFill>
                    <a:blip r:embed="rId27"/>
                    <a:stretch>
                      <a:fillRect/>
                    </a:stretch>
                  </pic:blipFill>
                  <pic:spPr bwMode="auto">
                    <a:xfrm>
                      <a:off x="0" y="0"/>
                      <a:ext cx="5498632" cy="2363983"/>
                    </a:xfrm>
                    <a:prstGeom prst="rect">
                      <a:avLst/>
                    </a:prstGeom>
                    <a:noFill/>
                    <a:ln w="9525">
                      <a:noFill/>
                      <a:headEnd/>
                      <a:tailEnd/>
                    </a:ln>
                  </pic:spPr>
                </pic:pic>
              </a:graphicData>
            </a:graphic>
          </wp:inline>
        </w:drawing>
      </w:r>
    </w:p>
    <w:bookmarkEnd w:id="30"/>
    <w:bookmarkStart w:id="31" w:name="access-for"/>
    <w:p>
      <w:pPr>
        <w:pStyle w:val="Heading3"/>
      </w:pPr>
      <w:r>
        <w:t xml:space="preserve">Access for:</w:t>
      </w:r>
    </w:p>
    <w:bookmarkEnd w:id="31"/>
    <w:bookmarkStart w:id="35" w:name="students-with-disabilitie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5"/>
    <w:bookmarkStart w:id="39" w:name="english-learners"/>
    <w:p>
      <w:pPr>
        <w:pStyle w:val="Heading3"/>
      </w:pP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9"/>
    <w:bookmarkStart w:id="40" w:name="instructional-routines"/>
    <w:p>
      <w:pPr>
        <w:pStyle w:val="Heading3"/>
      </w:pPr>
      <w:r>
        <w:t xml:space="preserve">Instructional Routines</w:t>
      </w:r>
    </w:p>
    <w:p>
      <w:pPr>
        <w:pStyle w:val="FirstParagraph"/>
      </w:pPr>
      <w:r>
        <w:t xml:space="preserve">What Do You Know About _____? (Warm-up)</w:t>
      </w:r>
    </w:p>
    <w:bookmarkEnd w:id="40"/>
    <w:bookmarkStart w:id="41" w:name="materials-to-gather"/>
    <w:p>
      <w:pPr>
        <w:pStyle w:val="Heading3"/>
      </w:pPr>
      <w:r>
        <w:t xml:space="preserve">Materials to Gather</w:t>
      </w:r>
    </w:p>
    <w:p>
      <w:pPr>
        <w:numPr>
          <w:ilvl w:val="0"/>
          <w:numId w:val="1005"/>
        </w:numPr>
        <w:pStyle w:val="Compact"/>
      </w:pPr>
      <w:r>
        <w:t xml:space="preserve">Collections of objects: Activity 1</w:t>
      </w:r>
    </w:p>
    <w:p>
      <w:pPr>
        <w:numPr>
          <w:ilvl w:val="0"/>
          <w:numId w:val="1005"/>
        </w:numPr>
        <w:pStyle w:val="Compact"/>
      </w:pPr>
      <w:r>
        <w:t xml:space="preserve">Dot cubes: Activity 2</w:t>
      </w:r>
    </w:p>
    <w:bookmarkEnd w:id="41"/>
    <w:bookmarkStart w:id="42" w:name="materials-to-copy"/>
    <w:p>
      <w:pPr>
        <w:pStyle w:val="Heading3"/>
      </w:pPr>
      <w:r>
        <w:t xml:space="preserve">Materials to Copy</w:t>
      </w:r>
    </w:p>
    <w:p>
      <w:pPr>
        <w:numPr>
          <w:ilvl w:val="0"/>
          <w:numId w:val="1006"/>
        </w:numPr>
        <w:pStyle w:val="Compact"/>
      </w:pPr>
      <w:r>
        <w:t xml:space="preserve">10-Frame Standard (groups of 1): Activity 1</w:t>
      </w:r>
    </w:p>
    <w:p>
      <w:pPr>
        <w:numPr>
          <w:ilvl w:val="0"/>
          <w:numId w:val="1006"/>
        </w:numPr>
        <w:pStyle w:val="Compact"/>
      </w:pPr>
      <w:r>
        <w:t xml:space="preserve">Counting Collections Stages 1 and 2 Recording Sheet, Spanish (groups of 1): Activity 1</w:t>
      </w:r>
    </w:p>
    <w:p>
      <w:pPr>
        <w:numPr>
          <w:ilvl w:val="0"/>
          <w:numId w:val="1006"/>
        </w:numPr>
        <w:pStyle w:val="Compact"/>
      </w:pPr>
      <w:r>
        <w:t xml:space="preserve">Number Race Stage 3 Gameboard (groups of 1): Activity 2</w:t>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43"/>
    <w:bookmarkStart w:id="44" w:name="teacher-reflection-question"/>
    <w:p>
      <w:pPr>
        <w:pStyle w:val="Heading3"/>
      </w:pPr>
      <w:r>
        <w:t xml:space="preserve">Teacher Reflection Question</w:t>
      </w:r>
    </w:p>
    <w:p>
      <w:pPr>
        <w:pStyle w:val="FirstParagraph"/>
      </w:pPr>
      <w:r>
        <w:t xml:space="preserve">Reflect on the tone in the classroom during the first lesson of the year. How are you feeling about teaching math, and how are your students feeling about participating in the mathematics this year? How can you tell?</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9"/>
    <w:bookmarkStart w:id="50" w:name="student-facing-task-statement"/>
    <w:p>
      <w:pPr>
        <w:pStyle w:val="Heading3"/>
      </w:pPr>
      <w:r>
        <w:t xml:space="preserve">Student-facing Task Statement</w:t>
      </w:r>
    </w:p>
    <w:p>
      <w:pPr>
        <w:pStyle w:val="FirstParagraph"/>
      </w:pPr>
      <w:r>
        <w:t xml:space="preserve">Lesson observations</w:t>
      </w:r>
    </w:p>
    <w:bookmarkEnd w:id="50"/>
    <w:bookmarkStart w:id="51" w:name="student-responses"/>
    <w:p>
      <w:pPr>
        <w:pStyle w:val="Heading3"/>
      </w:pPr>
      <w:r>
        <w:t xml:space="preserve">Student Responses</w:t>
      </w:r>
    </w:p>
    <w:p>
      <w:pPr>
        <w:numPr>
          <w:ilvl w:val="0"/>
          <w:numId w:val="1007"/>
        </w:numPr>
        <w:pStyle w:val="Compact"/>
      </w:pPr>
      <w:r>
        <w:t xml:space="preserve">   Recognize the number of dots without counting.</w:t>
      </w:r>
    </w:p>
    <w:p>
      <w:pPr>
        <w:numPr>
          <w:ilvl w:val="0"/>
          <w:numId w:val="1007"/>
        </w:numPr>
        <w:pStyle w:val="Compact"/>
      </w:pPr>
      <w:r>
        <w:t xml:space="preserve">   Count all to find the sum.</w:t>
      </w:r>
    </w:p>
    <w:p>
      <w:pPr>
        <w:numPr>
          <w:ilvl w:val="0"/>
          <w:numId w:val="1007"/>
        </w:numPr>
        <w:pStyle w:val="Compact"/>
      </w:pPr>
      <w:r>
        <w:t xml:space="preserve">   Count on to find the sum.</w:t>
      </w:r>
    </w:p>
    <w:p>
      <w:pPr>
        <w:numPr>
          <w:ilvl w:val="0"/>
          <w:numId w:val="1007"/>
        </w:numPr>
        <w:pStyle w:val="Compact"/>
      </w:pPr>
      <w:r>
        <w:t xml:space="preserve">   Use their knowledge of the count sequence to know certain sums.</w:t>
      </w:r>
    </w:p>
    <w:p>
      <w:pPr>
        <w:numPr>
          <w:ilvl w:val="0"/>
          <w:numId w:val="1007"/>
        </w:numPr>
        <w:pStyle w:val="Compact"/>
      </w:pPr>
      <w:r>
        <w:t xml:space="preserve">   Know certain sums.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36" Target="media/rId36.svg" /><Relationship Type="http://schemas.openxmlformats.org/officeDocument/2006/relationships/image" Id="rId32" Target="media/rId32.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2022-12-14T22:54:00Z</dcterms:created>
  <dcterms:modified xsi:type="dcterms:W3CDTF">2022-12-14T22:54:00Z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k4a1hhDNP0+8rbSn1CMHU+77nL+GctYEzKuizeNkcWy3gvDffEXHEnlJF7mFRys71xPlOZL4ix9JIUe9l2tyMQ==</vt:lpwstr>
  </property>
</Properties>
</file>