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6-center-day-1-optional"/>
    <w:p>
      <w:pPr>
        <w:pStyle w:val="Heading1"/>
      </w:pPr>
      <w:r>
        <w:t xml:space="preserve">Lesson 6: Center Day 1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Learn the structure of center day lessons.</w:t>
      </w:r>
    </w:p>
    <w:p>
      <w:pPr>
        <w:numPr>
          <w:ilvl w:val="0"/>
          <w:numId w:val="1001"/>
        </w:numPr>
        <w:pStyle w:val="Compact"/>
      </w:pPr>
      <w:r>
        <w:t xml:space="preserve">Practice adding and subtracting within 10 or 20.</w:t>
      </w:r>
    </w:p>
    <w:p>
      <w:pPr>
        <w:numPr>
          <w:ilvl w:val="0"/>
          <w:numId w:val="1001"/>
        </w:numPr>
        <w:pStyle w:val="Compact"/>
      </w:pPr>
      <w:r>
        <w:t xml:space="preserve">Practice adding within 50.</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and subtract in center activities.</w:t>
      </w:r>
    </w:p>
    <w:bookmarkEnd w:id="25"/>
    <w:bookmarkStart w:id="26" w:name="lesson-purpose"/>
    <w:p>
      <w:pPr>
        <w:pStyle w:val="Heading3"/>
      </w:pPr>
      <w:r>
        <w:t xml:space="preserve">Lesson Purpose</w:t>
      </w:r>
    </w:p>
    <w:p>
      <w:pPr>
        <w:pStyle w:val="FirstParagraph"/>
      </w:pPr>
      <w:r>
        <w:t xml:space="preserve">The purpose of this lesson is for students to practice adding and subtracting within 10, 20, or 50.</w:t>
      </w:r>
    </w:p>
    <w:p>
      <w:pPr>
        <w:pStyle w:val="BodyText"/>
      </w:pPr>
      <w:r>
        <w:t xml:space="preserve">This lesson is optional because it is an opportunity for extra practice that not all classes may need. In both activities, students have a choice between 2 centers introduced in previous lessons. Students choose the center they would like to participate in, and work with a partner on that activity. Use this lesson as an opportunity to establish structures for centers for the year, such as how materials will be organized, how many students will work at each center, how students will transition from one center to another, and how students will work together with partners at each center.</w:t>
      </w:r>
    </w:p>
    <w:p>
      <w:pPr>
        <w:pStyle w:val="BodyText"/>
      </w:pPr>
      <w:r>
        <w:rPr>
          <w:bCs/>
          <w:b/>
        </w:rPr>
        <w:t xml:space="preserve">Math Community</w:t>
      </w:r>
    </w:p>
    <w:p>
      <w:pPr>
        <w:pStyle w:val="BodyText"/>
      </w:pPr>
      <w:r>
        <w:t xml:space="preserve">Tell students they will reflect on their identified norms at the end of this lesson.</w:t>
      </w:r>
    </w:p>
    <w:bookmarkEnd w:id="26"/>
    <w:bookmarkStart w:id="27" w:name="instructional-routines"/>
    <w:p>
      <w:pPr>
        <w:pStyle w:val="Heading3"/>
      </w:pPr>
      <w:r>
        <w:t xml:space="preserve">Instructional Routines</w:t>
      </w:r>
    </w:p>
    <w:p>
      <w:pPr>
        <w:pStyle w:val="FirstParagraph"/>
      </w:pPr>
      <w:r>
        <w:t xml:space="preserve">Number Talk (Warm-up)</w:t>
      </w:r>
    </w:p>
    <w:bookmarkEnd w:id="27"/>
    <w:bookmarkStart w:id="28" w:name="materials-to-gather"/>
    <w:p>
      <w:pPr>
        <w:pStyle w:val="Heading3"/>
      </w:pPr>
      <w:r>
        <w:t xml:space="preserve">Materials to Gather</w:t>
      </w:r>
    </w:p>
    <w:p>
      <w:pPr>
        <w:numPr>
          <w:ilvl w:val="0"/>
          <w:numId w:val="1003"/>
        </w:numPr>
        <w:pStyle w:val="Compact"/>
      </w:pPr>
      <w:r>
        <w:t xml:space="preserve">Number cards 0–10: Activity 2</w:t>
      </w:r>
    </w:p>
    <w:bookmarkEnd w:id="28"/>
    <w:bookmarkStart w:id="29" w:name="materials-to-copy"/>
    <w:p>
      <w:pPr>
        <w:pStyle w:val="Heading3"/>
      </w:pPr>
      <w:r>
        <w:t xml:space="preserve">Materials to Copy</w:t>
      </w:r>
    </w:p>
    <w:p>
      <w:pPr>
        <w:numPr>
          <w:ilvl w:val="0"/>
          <w:numId w:val="1004"/>
        </w:numPr>
        <w:pStyle w:val="Compact"/>
      </w:pPr>
      <w:r>
        <w:t xml:space="preserve">Number Puzzles Addition and Subtraction Stage 2 Gameboard (groups of 1): Activity 1</w:t>
      </w:r>
    </w:p>
    <w:p>
      <w:pPr>
        <w:numPr>
          <w:ilvl w:val="0"/>
          <w:numId w:val="1004"/>
        </w:numPr>
        <w:pStyle w:val="Compact"/>
      </w:pPr>
      <w:r>
        <w:t xml:space="preserve">Number Puzzles Digit Cards (groups of 2):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How can you use what you learned today about your students and the structure of centers to implement centers in your upcoming lessons?</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2022-12-14T09:51:27Z</dcterms:created>
  <dcterms:modified xsi:type="dcterms:W3CDTF">2022-12-14T09:51:27Z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wxZeOTFZ9KyPe2E2U6/hBPJ1is7/v/7rNLpbrie1dbbnEhtgXdEM8UqfwigCy81sy53zSOs1o/CxML7eU7p26w==</vt:lpwstr>
  </property>
</Properties>
</file>