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5.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9-te-lo-comiste-todo"/>
    <w:p>
      <w:pPr>
        <w:pStyle w:val="Heading1"/>
      </w:pPr>
      <w:r>
        <w:t xml:space="preserve">Lesson 9: Te lo comiste todo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 2.NBT.A.2</w:t>
            </w:r>
          </w:p>
        </w:tc>
      </w:tr>
      <w:tr>
        <w:tc>
          <w:tcPr/>
          <w:p>
            <w:pPr>
              <w:pStyle w:val="Compact"/>
              <w:jc w:val="left"/>
            </w:pPr>
            <w:r>
              <w:t xml:space="preserve">Building Towards</w:t>
            </w:r>
          </w:p>
        </w:tc>
        <w:tc>
          <w:tcPr/>
          <w:p>
            <w:pPr>
              <w:pStyle w:val="Compact"/>
              <w:jc w:val="left"/>
            </w:pPr>
            <w:r>
              <w:t xml:space="preserve">2.MD.C.7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two halves, three thirds, and four fourths as one whole.</w:t>
      </w:r>
    </w:p>
    <w:p>
      <w:pPr>
        <w:numPr>
          <w:ilvl w:val="0"/>
          <w:numId w:val="1001"/>
        </w:numPr>
        <w:pStyle w:val="Compact"/>
      </w:pPr>
      <w:r>
        <w:t xml:space="preserve">Use “half of,” “a third of,” and “a quarter of” to describe parts of a shape.</w:t>
      </w:r>
    </w:p>
    <w:bookmarkEnd w:id="24"/>
    <w:bookmarkStart w:id="25" w:name="student-facing-learning-goals"/>
    <w:p>
      <w:pPr>
        <w:pStyle w:val="Heading3"/>
      </w:pPr>
      <w:r>
        <w:t xml:space="preserve">Student-facing Learning Goals</w:t>
      </w:r>
    </w:p>
    <w:p>
      <w:pPr>
        <w:numPr>
          <w:ilvl w:val="0"/>
          <w:numId w:val="1002"/>
        </w:numPr>
        <w:pStyle w:val="Compact"/>
      </w:pPr>
      <w:r>
        <w:t xml:space="preserve">Hablemos sobre el todo.</w:t>
      </w:r>
    </w:p>
    <w:bookmarkEnd w:id="25"/>
    <w:bookmarkStart w:id="26" w:name="lesson-purpose"/>
    <w:p>
      <w:pPr>
        <w:pStyle w:val="Heading3"/>
      </w:pPr>
      <w:r>
        <w:t xml:space="preserve">Lesson Purpose</w:t>
      </w:r>
    </w:p>
    <w:p>
      <w:pPr>
        <w:pStyle w:val="FirstParagraph"/>
      </w:pPr>
      <w:r>
        <w:t xml:space="preserve">The purpose of this lesson is for students to recognize 2 halves, 3 thirds, and 4 fourths as one whole.</w:t>
      </w:r>
    </w:p>
    <w:p>
      <w:pPr>
        <w:pStyle w:val="BodyText"/>
      </w:pPr>
      <w:r>
        <w:t xml:space="preserve">In previous lessons, students partitioned circles and rectangles into halves, thirds, and fourths and identified an equal piece of different shapes as a half of, third, of, or fourth of the shape.</w:t>
      </w:r>
    </w:p>
    <w:p>
      <w:pPr>
        <w:pStyle w:val="BodyText"/>
      </w:pPr>
      <w:r>
        <w:t xml:space="preserve">In this lesson, students continue to practice partitioning circles and describe halves, thirds, and quarters of circles using the language a half of, a third of, and a quarter of to describe a piece of the shape. They also use this language to describe the whole shape as a number of equal pieces. Students recognize that a whole shape can be described as 2 halves, 3 thirds, or 4 fourths. This understanding is the foundation for students' work with a whole and fraction equivalency in grade 3.</w:t>
      </w:r>
    </w:p>
    <w:p>
      <w:pPr>
        <w:pStyle w:val="BodyText"/>
      </w:pPr>
      <w:r>
        <w:t xml:space="preserve">The activities encourage students to use quarters and a quarter of when describing fourths of a circle. This word choice is used to help students connect to the language used when telling time to the half and quarter hour in upcoming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MLR5 Co-craft Questions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Colored pencils: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an upcoming lesson, students will learn to tell time to the half hour and quarter hour. What do you notice in their work from today’s lesson that you might leverage in that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Parte un círculo</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w:t>
            </w:r>
          </w:p>
        </w:tc>
      </w:tr>
    </w:tbl>
    <w:bookmarkEnd w:id="40"/>
    <w:bookmarkStart w:id="44" w:name="student-facing-task-statement"/>
    <w:p>
      <w:pPr>
        <w:pStyle w:val="Heading3"/>
      </w:pPr>
      <w:r>
        <w:t xml:space="preserve">Student-facing Task Statement</w:t>
      </w:r>
    </w:p>
    <w:p>
      <w:pPr>
        <w:pStyle w:val="FirstParagraph"/>
      </w:pPr>
      <w:r>
        <w:t xml:space="preserve">1. Parte este círculo en 2 partes iguales. Colorea cada parte del círculo de un color distinto.</w:t>
      </w:r>
    </w:p>
    <w:p>
      <w:pPr>
        <w:pStyle w:val="BodyText"/>
      </w:pPr>
      <w:r>
        <w:drawing>
          <wp:inline>
            <wp:extent cx="2971800" cy="2971800"/>
            <wp:effectExtent b="0" l="0" r="0" t="0"/>
            <wp:docPr descr="Circle." title="" id="42" name="Picture"/>
            <a:graphic>
              <a:graphicData uri="http://schemas.openxmlformats.org/drawingml/2006/picture">
                <pic:pic>
                  <pic:nvPicPr>
                    <pic:cNvPr descr="/app/tmp/embedder-1671061823.4975016.png" id="43" name="Picture"/>
                    <pic:cNvPicPr>
                      <a:picLocks noChangeArrowheads="1" noChangeAspect="1"/>
                    </pic:cNvPicPr>
                  </pic:nvPicPr>
                  <pic:blipFill>
                    <a:blip r:embed="rId41"/>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2. ¿Cuánto del círculo coloreaste?</w:t>
      </w:r>
    </w:p>
    <w:bookmarkEnd w:id="44"/>
    <w:bookmarkStart w:id="48" w:name="student-responses"/>
    <w:p>
      <w:pPr>
        <w:pStyle w:val="Heading3"/>
      </w:pPr>
      <w:r>
        <w:t xml:space="preserve">Student Responses</w:t>
      </w:r>
    </w:p>
    <w:p>
      <w:pPr>
        <w:pStyle w:val="FirstParagraph"/>
      </w:pPr>
      <w:r>
        <w:t xml:space="preserve">1. Sample response:</w:t>
      </w:r>
    </w:p>
    <w:p>
      <w:pPr>
        <w:pStyle w:val="BodyText"/>
      </w:pPr>
      <w:r>
        <w:drawing>
          <wp:inline>
            <wp:extent cx="1485900" cy="1485900"/>
            <wp:effectExtent b="0" l="0" r="0" t="0"/>
            <wp:docPr descr="Circle partitioned into halves. One half shaded yellow, one shaded blue." title="" id="46" name="Picture"/>
            <a:graphic>
              <a:graphicData uri="http://schemas.openxmlformats.org/drawingml/2006/picture">
                <pic:pic>
                  <pic:nvPicPr>
                    <pic:cNvPr descr="/app/tmp/embedder-1671061823.5881352.png" id="47" name="Picture"/>
                    <pic:cNvPicPr>
                      <a:picLocks noChangeArrowheads="1" noChangeAspect="1"/>
                    </pic:cNvPicPr>
                  </pic:nvPicPr>
                  <pic:blipFill>
                    <a:blip r:embed="rId45"/>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2. Sample response: I shaded two halves of the circle, or I shaded the whole circle.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2022-12-14T23:50:24Z</dcterms:created>
  <dcterms:modified xsi:type="dcterms:W3CDTF">2022-12-14T23:50:24Z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r9XQ7ILtV49bnaGJtSbsOPtqhdX5aHJAfzKbNUmaAGyL0ZW17mWv0p55ApfkQsBQwoL8U+3iL1v6uH5FPZUDMQ==</vt:lpwstr>
  </property>
</Properties>
</file>