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6.png" ContentType="image/png"/>
  <Override PartName="/word/media/rId49.png" ContentType="image/png"/>
  <Override PartName="/word/media/rId32.svg" ContentType="image/svg+xml;base64"/>
  <Override PartName="/word/media/rId28.svg" ContentType="image/svg+xml;base64"/>
  <Override PartName="/word/media/rId41.svg" ContentType="image/svg+xml;base64"/>
  <Override PartName="/word/media/rId20.svg" ContentType="image/svg+xml;base64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drawing>
          <wp:inline>
            <wp:extent cx="3810000" cy="2540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data:image/svg+xml;base64,PHN2ZyBoZWlnaHQ9IjAuM2luIiB4bWxucz0iaHR0cDovL3d3dy53My5vcmcv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%0AWiIvPgogIDwvZz4KPC9zdmc+%0A" id="22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Start w:id="54" w:name="lesson-1-what-is-area"/>
    <w:p>
      <w:pPr>
        <w:pStyle w:val="Heading1"/>
      </w:pPr>
      <w:r>
        <w:t xml:space="preserve">Lesson 1: What is Area?</w:t>
      </w:r>
    </w:p>
    <w:bookmarkStart w:id="23" w:name="standards-alignments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3.MD.C.5, 3.OA.A.1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Building Towards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3.MD.C.5</w:t>
            </w:r>
          </w:p>
        </w:tc>
      </w:tr>
    </w:tbl>
    <w:bookmarkEnd w:id="23"/>
    <w:bookmarkStart w:id="24" w:name="teacher-facing-learning-goals"/>
    <w:p>
      <w:pPr>
        <w:pStyle w:val="Heading3"/>
      </w:pPr>
      <w:r>
        <w:t xml:space="preserve">Teacher-facing Learning Goals</w:t>
      </w:r>
    </w:p>
    <w:p>
      <w:pPr>
        <w:numPr>
          <w:ilvl w:val="0"/>
          <w:numId w:val="1001"/>
        </w:numPr>
        <w:pStyle w:val="Compact"/>
      </w:pPr>
      <w:r>
        <w:t xml:space="preserve">Describe the relative size of plane figures in their own language.</w:t>
      </w:r>
    </w:p>
    <w:bookmarkEnd w:id="24"/>
    <w:bookmarkStart w:id="25" w:name="student-facing-learning-goals"/>
    <w:p>
      <w:pPr>
        <w:pStyle w:val="Heading3"/>
      </w:pPr>
      <w:r>
        <w:t xml:space="preserve">Student-facing Learning Goals</w:t>
      </w:r>
    </w:p>
    <w:p>
      <w:pPr>
        <w:numPr>
          <w:ilvl w:val="0"/>
          <w:numId w:val="1002"/>
        </w:numPr>
        <w:pStyle w:val="Compact"/>
      </w:pPr>
      <w:r>
        <w:t xml:space="preserve">Let’s compare the size of shapes.</w:t>
      </w:r>
    </w:p>
    <w:bookmarkEnd w:id="25"/>
    <w:bookmarkStart w:id="26" w:name="lesson-purpose"/>
    <w:p>
      <w:pPr>
        <w:pStyle w:val="Heading3"/>
      </w:pPr>
      <w:r>
        <w:t xml:space="preserve">Lesson Purpose</w:t>
      </w:r>
    </w:p>
    <w:p>
      <w:pPr>
        <w:pStyle w:val="FirstParagraph"/>
      </w:pPr>
      <w:r>
        <w:t xml:space="preserve">The purpose of this lesson is for students to recognize that different shapes cover different amounts of space.</w:t>
      </w:r>
    </w:p>
    <w:p>
      <w:pPr>
        <w:pStyle w:val="BodyText"/>
      </w:pPr>
      <w:r>
        <w:t xml:space="preserve">In grade 2, students estimated, measured, and compared lengths using standard units. They learned how the length of the unit affects measurements.</w:t>
      </w:r>
    </w:p>
    <w:p>
      <w:pPr>
        <w:pStyle w:val="BodyText"/>
      </w:pPr>
      <w:r>
        <w:t xml:space="preserve">This lesson introduces the concept of area as students compare the size of different shapes. Students consider what it means for two-dimensional shapes to be larger or cover more space. They measure and describe relative area with increasing precision as they participate in the activities in this lesson.</w:t>
      </w:r>
    </w:p>
    <w:p>
      <w:pPr>
        <w:pStyle w:val="BodyText"/>
      </w:pPr>
      <w:r>
        <w:t xml:space="preserve">Give students access to pattern blocks and scissors during the cool-down.</w:t>
      </w:r>
    </w:p>
    <w:bookmarkEnd w:id="26"/>
    <w:bookmarkStart w:id="27" w:name="access-for"/>
    <w:p>
      <w:pPr>
        <w:pStyle w:val="Heading3"/>
      </w:pPr>
      <w:r>
        <w:t xml:space="preserve">Access for:</w:t>
      </w:r>
    </w:p>
    <w:bookmarkEnd w:id="27"/>
    <w:bookmarkStart w:id="31" w:name="students-with-disabilitie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+Cjwvc3ZnPg==" id="30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8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Students with Disabilities</w:t>
      </w:r>
    </w:p>
    <w:p>
      <w:pPr>
        <w:numPr>
          <w:ilvl w:val="0"/>
          <w:numId w:val="1003"/>
        </w:numPr>
        <w:pStyle w:val="Compact"/>
      </w:pPr>
      <w:r>
        <w:t xml:space="preserve">Action and Expression (Activity 2)</w:t>
      </w:r>
    </w:p>
    <w:bookmarkEnd w:id="31"/>
    <w:bookmarkStart w:id="35" w:name="english-learner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+PC9wYXRoPgo8L3N2Zz4=" id="34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2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English Learners</w:t>
      </w:r>
    </w:p>
    <w:p>
      <w:pPr>
        <w:numPr>
          <w:ilvl w:val="0"/>
          <w:numId w:val="1004"/>
        </w:numPr>
        <w:pStyle w:val="Compact"/>
      </w:pPr>
      <w:r>
        <w:t xml:space="preserve">MLR8 (Activity 2)</w:t>
      </w:r>
    </w:p>
    <w:bookmarkEnd w:id="35"/>
    <w:bookmarkStart w:id="36" w:name="instructional-routines"/>
    <w:p>
      <w:pPr>
        <w:pStyle w:val="Heading3"/>
      </w:pPr>
      <w:r>
        <w:t xml:space="preserve">Instructional Routines</w:t>
      </w:r>
    </w:p>
    <w:p>
      <w:pPr>
        <w:pStyle w:val="FirstParagraph"/>
      </w:pPr>
      <w:r>
        <w:t xml:space="preserve">How Many Do You See? (Warm-up)</w:t>
      </w:r>
    </w:p>
    <w:bookmarkEnd w:id="36"/>
    <w:bookmarkStart w:id="37" w:name="materials-to-gather"/>
    <w:p>
      <w:pPr>
        <w:pStyle w:val="Heading3"/>
      </w:pPr>
      <w:r>
        <w:t xml:space="preserve">Materials to Gather</w:t>
      </w:r>
    </w:p>
    <w:p>
      <w:pPr>
        <w:numPr>
          <w:ilvl w:val="0"/>
          <w:numId w:val="1005"/>
        </w:numPr>
        <w:pStyle w:val="Compact"/>
      </w:pPr>
      <w:r>
        <w:t xml:space="preserve">Pattern blocks: Activity 2</w:t>
      </w:r>
    </w:p>
    <w:p>
      <w:pPr>
        <w:numPr>
          <w:ilvl w:val="0"/>
          <w:numId w:val="1005"/>
        </w:numPr>
        <w:pStyle w:val="Compact"/>
      </w:pPr>
      <w:r>
        <w:t xml:space="preserve">Scissors: Activity 1, Activity 2</w:t>
      </w:r>
    </w:p>
    <w:bookmarkEnd w:id="37"/>
    <w:bookmarkStart w:id="38" w:name="materials-to-copy"/>
    <w:p>
      <w:pPr>
        <w:pStyle w:val="Heading3"/>
      </w:pPr>
      <w:r>
        <w:t xml:space="preserve">Materials to Copy</w:t>
      </w:r>
    </w:p>
    <w:p>
      <w:pPr>
        <w:numPr>
          <w:ilvl w:val="0"/>
          <w:numId w:val="1006"/>
        </w:numPr>
        <w:pStyle w:val="Compact"/>
      </w:pPr>
      <w:r>
        <w:t xml:space="preserve">Pattern Blocks to Compare Shapes (groups of 1): Activity 2</w:t>
      </w:r>
    </w:p>
    <w:bookmarkEnd w:id="38"/>
    <w:bookmarkStart w:id="39" w:name="lesson-timeline"/>
    <w:p>
      <w:pPr>
        <w:pStyle w:val="Heading3"/>
      </w:pPr>
      <w:r>
        <w:t xml:space="preserve">Lesson Timeline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Warm-up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Lesson Synthesis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Cool-down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 min</w:t>
            </w:r>
          </w:p>
        </w:tc>
      </w:tr>
    </w:tbl>
    <w:bookmarkEnd w:id="39"/>
    <w:bookmarkStart w:id="40" w:name="teacher-reflection-question"/>
    <w:p>
      <w:pPr>
        <w:pStyle w:val="Heading3"/>
      </w:pPr>
      <w:r>
        <w:t xml:space="preserve">Teacher Reflection Question</w:t>
      </w:r>
    </w:p>
    <w:p>
      <w:pPr>
        <w:pStyle w:val="FirstParagraph"/>
      </w:pPr>
      <w:r>
        <w:t xml:space="preserve">What part of the lesson went really well today in terms of students learning? What did you do that made that part go well?</w:t>
      </w:r>
    </w:p>
    <w:p>
      <w:r>
        <w:pict>
          <v:rect style="width:0;height:1.5pt" o:hralign="center" o:hrstd="t" o:hr="t"/>
        </w:pict>
      </w:r>
    </w:p>
    <w:bookmarkEnd w:id="40"/>
    <w:bookmarkStart w:id="44" w:name="cool-down"/>
    <w:p>
      <w:pPr>
        <w:pStyle w:val="Heading2"/>
      </w:pPr>
      <w:r>
        <w:t xml:space="preserve">Cool-down</w:t>
      </w:r>
    </w:p>
    <w:p>
      <w:pPr>
        <w:pStyle w:val="FirstParagraph"/>
      </w:pPr>
      <w:r>
        <w:t xml:space="preserve">(to be completed at the end of the lesson)</w:t>
      </w:r>
      <w:r>
        <w:t xml:space="preserve"> </w:t>
      </w:r>
      <w:r>
        <w:drawing>
          <wp:inline>
            <wp:extent cx="3810000" cy="2540000"/>
            <wp:effectExtent b="0" l="0" r="0" t="0"/>
            <wp:docPr descr="" title="" id="42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+PC9wYXRoPgogIDwvc3ZnPg==" id="43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41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5</w:t>
      </w:r>
      <w:r>
        <w:t xml:space="preserve">min</w:t>
      </w:r>
    </w:p>
    <w:p>
      <w:pPr>
        <w:pStyle w:val="BodyText"/>
      </w:pPr>
      <w:r>
        <w:t xml:space="preserve">Compare Area</w:t>
      </w:r>
    </w:p>
    <w:bookmarkEnd w:id="44"/>
    <w:bookmarkStart w:id="45" w:name="standards-alignments-1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3.MD.C.5</w:t>
            </w:r>
          </w:p>
        </w:tc>
      </w:tr>
    </w:tbl>
    <w:bookmarkEnd w:id="45"/>
    <w:bookmarkStart w:id="52" w:name="student-facing-task-statement"/>
    <w:p>
      <w:pPr>
        <w:pStyle w:val="Heading3"/>
      </w:pPr>
      <w:r>
        <w:t xml:space="preserve">Student-facing Task Statement</w:t>
      </w:r>
    </w:p>
    <w:p>
      <w:pPr>
        <w:pStyle w:val="FirstParagraph"/>
      </w:pPr>
      <w:r>
        <w:t xml:space="preserve">Which rectangle has the greater area? How do you know?</w:t>
      </w:r>
    </w:p>
    <w:p>
      <w:pPr>
        <w:pStyle w:val="BodyText"/>
      </w:pPr>
      <w:r>
        <w:drawing>
          <wp:inline>
            <wp:extent cx="2897479" cy="2020811"/>
            <wp:effectExtent b="0" l="0" r="0" t="0"/>
            <wp:docPr descr="Rectangle, labeled A." title="" id="47" name="Picture"/>
            <a:graphic>
              <a:graphicData uri="http://schemas.openxmlformats.org/drawingml/2006/picture">
                <pic:pic>
                  <pic:nvPicPr>
                    <pic:cNvPr descr="/app/tmp/embedder-1671020138.2477405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7479" cy="202081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3863301" cy="1069839"/>
            <wp:effectExtent b="0" l="0" r="0" t="0"/>
            <wp:docPr descr="Rectangle labeled B." title="" id="50" name="Picture"/>
            <a:graphic>
              <a:graphicData uri="http://schemas.openxmlformats.org/drawingml/2006/picture">
                <pic:pic>
                  <pic:nvPicPr>
                    <pic:cNvPr descr="/app/tmp/embedder-1671020138.3517547.pn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3301" cy="10698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52"/>
    <w:bookmarkStart w:id="53" w:name="student-responses"/>
    <w:p>
      <w:pPr>
        <w:pStyle w:val="Heading3"/>
      </w:pPr>
      <w:r>
        <w:t xml:space="preserve">Student Responses</w:t>
      </w:r>
    </w:p>
    <w:p>
      <w:pPr>
        <w:pStyle w:val="FirstParagraph"/>
      </w:pPr>
      <w:r>
        <w:t xml:space="preserve">Sample response: Figure A covers more space. Even if you cut Figure B in half it would fit in Figure A with leftover space.</w:t>
      </w:r>
    </w:p>
    <w:bookmarkEnd w:id="53"/>
    <w:bookmarkEnd w:id="54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6" Target="media/rId46.png" /><Relationship Type="http://schemas.openxmlformats.org/officeDocument/2006/relationships/image" Id="rId49" Target="media/rId49.png" /><Relationship Type="http://schemas.openxmlformats.org/officeDocument/2006/relationships/image" Id="rId32" Target="media/rId32.svg" /><Relationship Type="http://schemas.openxmlformats.org/officeDocument/2006/relationships/image" Id="rId28" Target="media/rId28.svg" /><Relationship Type="http://schemas.openxmlformats.org/officeDocument/2006/relationships/image" Id="rId41" Target="media/rId41.svg" /><Relationship Type="http://schemas.openxmlformats.org/officeDocument/2006/relationships/image" Id="rId20" Target="media/rId20.sv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2022-12-14T12:15:39Z</dcterms:created>
  <dcterms:modified xsi:type="dcterms:W3CDTF">2022-12-14T12:15:39Z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y2n8vhpgcyHUtNPqFG5eiaRybbHvPSNbwSWMOTPloOvvbbnnduiLfBFQcPRFCnLhnZoUN/u3fkBEr2lJR+qjtg==</vt:lpwstr>
  </property>
</Properties>
</file>