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expliquemos-cómo-contamos"/>
    <w:p>
      <w:pPr>
        <w:pStyle w:val="Heading2"/>
      </w:pPr>
      <w:r>
        <w:t xml:space="preserve">Lección 15: Expliquemos cómo contamos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colecciones de objetos y digámosle a nuestros compañeros cómo contamos.</w:t>
      </w:r>
    </w:p>
    <w:bookmarkStart w:id="36" w:name="centros-momento-de-escoger"/>
    <w:p>
      <w:pPr>
        <w:pStyle w:val="Heading3"/>
      </w:pPr>
      <w:r>
        <w:t xml:space="preserve">15.3: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56602.29632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6602.34441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602.43449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1" name="Picture"/>
            <a:graphic>
              <a:graphicData uri="http://schemas.openxmlformats.org/drawingml/2006/picture">
                <pic:pic>
                  <pic:nvPicPr>
                    <pic:cNvPr descr="/app/tmp/embedder-1671056602.5197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2022-12-14T22:23:23Z</dcterms:created>
  <dcterms:modified xsi:type="dcterms:W3CDTF">2022-12-14T22:23:23Z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OswweIFIUXFYz8w7N67oAnfQdy/+noozC1uyG0EWnkweyHUh7cCpLJ0rbyVmysRqTjgOqeoU1yiO0VdrNRmdEQ==</vt:lpwstr>
  </property>
</Properties>
</file>