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568a309425fd2c50e757288e6ecac2c71a63ad9"/>
    <w:p>
      <w:pPr>
        <w:pStyle w:val="Heading1"/>
      </w:pPr>
      <w:r>
        <w:t xml:space="preserve">Lesson 8: Dividamos para multiplicar fracciones no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 5.NF.B.4, 5.NF.B.4.a,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Connect division to multiplication of a whole number by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multiplicación de números enteros por fracciones.</w:t>
      </w:r>
    </w:p>
    <w:bookmarkEnd w:id="25"/>
    <w:bookmarkStart w:id="26" w:name="lesson-purpose"/>
    <w:p>
      <w:pPr>
        <w:pStyle w:val="Heading3"/>
      </w:pPr>
      <w:r>
        <w:t xml:space="preserve">Lesson Purpose</w:t>
      </w:r>
    </w:p>
    <w:p>
      <w:pPr>
        <w:pStyle w:val="FirstParagraph"/>
      </w:pPr>
      <w:r>
        <w:t xml:space="preserve">The purpose of this lesson is for students to represent and solve problems involving a non-unit fraction.</w:t>
      </w:r>
    </w:p>
    <w:p>
      <w:pPr>
        <w:pStyle w:val="BodyText"/>
      </w:pPr>
      <w:r>
        <w:t xml:space="preserve">In this lesson, students to make sense of the product of a whole number and a non-unit fraction. Students relate the product of a whole number and a non-unit fraction to the product of a whole number and a unit fraction. They will have more opportunities to multiply a whole number by a fraction in the next section, systematically using the idea of area. This lesson continues to focus on the relationship between multiplication and division and encourages students to solve and interpret the problems in ways that make sense to them.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MLR2 Collect and Display (Activity 2), True or False (Warm-up)</w:t>
      </w:r>
    </w:p>
    <w:bookmarkEnd w:id="32"/>
    <w:bookmarkStart w:id="33" w:name="required-preparation"/>
    <w:p>
      <w:pPr>
        <w:pStyle w:val="Heading3"/>
      </w:pPr>
      <w:r>
        <w:t xml:space="preserve">Required Preparation</w:t>
      </w:r>
    </w:p>
    <w:p>
      <w:pPr>
        <w:pStyle w:val="FirstParagraph"/>
      </w:pPr>
      <w:r>
        <w:t xml:space="preserve">Gather the chart from the synthesis of a previous lesson that describes what students know and wonder about the relationship between multiplication and division.</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If you were to teach this lesson again what would you do the same? What would you change?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tercios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0"/>
    <w:bookmarkStart w:id="41" w:name="student-facing-task-statement"/>
    <w:p>
      <w:pPr>
        <w:pStyle w:val="Heading3"/>
      </w:pPr>
      <w:r>
        <w:t xml:space="preserve">Student-facing Task Statement</w:t>
      </w:r>
    </w:p>
    <w:p>
      <w:pPr>
        <w:pStyle w:val="FirstParagraph"/>
      </w:pPr>
      <w:r>
        <w:t xml:space="preserve">Encuentra el valor de cada expresión. Explica o muestra tu razonamiento.</w:t>
      </w:r>
    </w:p>
    <w:p>
      <w:pPr>
        <w:numPr>
          <w:ilvl w:val="0"/>
          <w:numId w:val="1004"/>
        </w:numPr>
        <w:pStyle w:val="Compact"/>
      </w:pPr>
      <m:oMath>
        <m:f>
          <m:fPr>
            <m:type m:val="bar"/>
          </m:fPr>
          <m:num>
            <m:r>
              <m:t>1</m:t>
            </m:r>
          </m:num>
          <m:den>
            <m:r>
              <m:t>3</m:t>
            </m:r>
          </m:den>
        </m:f>
        <m:r>
          <m:rPr>
            <m:sty m:val="p"/>
          </m:rPr>
          <m:t>×</m:t>
        </m:r>
        <m:r>
          <m:t>4</m:t>
        </m:r>
      </m:oMath>
    </w:p>
    <w:p>
      <w:pPr>
        <w:numPr>
          <w:ilvl w:val="0"/>
          <w:numId w:val="1004"/>
        </w:numPr>
        <w:pStyle w:val="Compact"/>
      </w:pPr>
      <m:oMath>
        <m:f>
          <m:fPr>
            <m:type m:val="bar"/>
          </m:fPr>
          <m:num>
            <m:r>
              <m:t>2</m:t>
            </m:r>
          </m:num>
          <m:den>
            <m:r>
              <m:t>3</m:t>
            </m:r>
          </m:den>
        </m:f>
        <m:r>
          <m:rPr>
            <m:sty m:val="p"/>
          </m:rPr>
          <m:t>×</m:t>
        </m:r>
        <m:r>
          <m:t>4</m:t>
        </m:r>
      </m:oMath>
    </w:p>
    <w:bookmarkEnd w:id="41"/>
    <w:bookmarkStart w:id="42" w:name="student-responses"/>
    <w:p>
      <w:pPr>
        <w:pStyle w:val="Heading3"/>
      </w:pPr>
      <w:r>
        <w:t xml:space="preserve">Student Responses</w:t>
      </w:r>
    </w:p>
    <w:p>
      <w:pPr>
        <w:numPr>
          <w:ilvl w:val="0"/>
          <w:numId w:val="1005"/>
        </w:numPr>
        <w:pStyle w:val="Compact"/>
      </w:pPr>
      <m:oMath>
        <m:f>
          <m:fPr>
            <m:type m:val="bar"/>
          </m:fPr>
          <m:num>
            <m:r>
              <m:t>4</m:t>
            </m:r>
          </m:num>
          <m:den>
            <m:r>
              <m:t>3</m:t>
            </m:r>
          </m:den>
        </m:f>
      </m:oMath>
      <w:r>
        <w:t xml:space="preserve"> </w:t>
      </w:r>
      <w:r>
        <w:t xml:space="preserve">or equivalent: Sample response:</w:t>
      </w:r>
      <w:r>
        <w:t xml:space="preserve"> </w:t>
      </w:r>
      <m:oMath>
        <m:r>
          <m:t>4</m:t>
        </m:r>
        <m:r>
          <m:rPr>
            <m:sty m:val="p"/>
          </m:rPr>
          <m:t>÷</m:t>
        </m:r>
        <m:r>
          <m:t>3</m:t>
        </m:r>
        <m:r>
          <m:rPr>
            <m:sty m:val="p"/>
          </m:rPr>
          <m:t>=</m:t>
        </m:r>
        <m:f>
          <m:fPr>
            <m:type m:val="bar"/>
          </m:fPr>
          <m:num>
            <m:r>
              <m:t>4</m:t>
            </m:r>
          </m:num>
          <m:den>
            <m:r>
              <m:t>3</m:t>
            </m:r>
          </m:den>
        </m:f>
      </m:oMath>
    </w:p>
    <w:p>
      <w:pPr>
        <w:numPr>
          <w:ilvl w:val="0"/>
          <w:numId w:val="1005"/>
        </w:numPr>
        <w:pStyle w:val="Compact"/>
      </w:pPr>
      <m:oMath>
        <m:f>
          <m:fPr>
            <m:type m:val="bar"/>
          </m:fPr>
          <m:num>
            <m:r>
              <m:t>8</m:t>
            </m:r>
          </m:num>
          <m:den>
            <m:r>
              <m:t>3</m:t>
            </m:r>
          </m:den>
        </m:f>
      </m:oMath>
      <w:r>
        <w:t xml:space="preserve"> </w:t>
      </w:r>
      <w:r>
        <w:t xml:space="preserve">or equivalent: Sample response: I doubled the answer to the first question. </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2022-12-15T00:49:21Z</dcterms:created>
  <dcterms:modified xsi:type="dcterms:W3CDTF">2022-12-15T00:49:21Z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cjwuAuN63lGrv9A7QHYQ27F94x9H1x+S6Zj8oycQqBlWOGtbj/ImDG5bcyUREjyziJWamVNdQolsEhnTUx+rRA==</vt:lpwstr>
  </property>
</Properties>
</file>