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45.png" ContentType="image/png"/>
  <Override PartName="/word/media/rId48.png" ContentType="image/png"/>
  <Override PartName="/word/media/rId51.png" ContentType="image/png"/>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6" w:name="X6d089d36027cd11b354e56fd2b6427afd3a89a3"/>
    <w:p>
      <w:pPr>
        <w:pStyle w:val="Heading1"/>
      </w:pPr>
      <w:r>
        <w:t xml:space="preserve">Lesson 1: Representations of Fractions (Part 1)</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3.NF.A.1</w:t>
            </w:r>
          </w:p>
        </w:tc>
      </w:tr>
      <w:tr>
        <w:tc>
          <w:tcPr/>
          <w:p>
            <w:pPr>
              <w:pStyle w:val="Compact"/>
              <w:jc w:val="left"/>
            </w:pPr>
            <w:r>
              <w:t xml:space="preserve">Building Towards</w:t>
            </w:r>
          </w:p>
        </w:tc>
        <w:tc>
          <w:tcPr/>
          <w:p>
            <w:pPr>
              <w:pStyle w:val="Compact"/>
              <w:jc w:val="left"/>
            </w:pPr>
            <w:r>
              <w:t xml:space="preserve">4.NF.A.1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Make sense of the numerator and denominator of unit fractions that have denominators 2, 3, 4, 5, 6, 8, 10, and 12.</w:t>
      </w:r>
    </w:p>
    <w:p>
      <w:pPr>
        <w:numPr>
          <w:ilvl w:val="0"/>
          <w:numId w:val="1001"/>
        </w:numPr>
        <w:pStyle w:val="Compact"/>
      </w:pPr>
      <w:r>
        <w:t xml:space="preserve">Use physical and visual representations to reason about fractions.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name some fractions and represent them visually.</w:t>
      </w:r>
    </w:p>
    <w:bookmarkEnd w:id="25"/>
    <w:bookmarkStart w:id="26" w:name="lesson-purpose"/>
    <w:p>
      <w:pPr>
        <w:pStyle w:val="Heading3"/>
      </w:pPr>
      <w:r>
        <w:t xml:space="preserve">Lesson Purpose</w:t>
      </w:r>
    </w:p>
    <w:p>
      <w:pPr>
        <w:pStyle w:val="FirstParagraph"/>
      </w:pPr>
      <w:r>
        <w:t xml:space="preserve">The purpose of this lesson is for students to make sense of unit fractions with denominators 2, 3, 4, 5, 6, 8, 10, and 12, using physical and visual representations.</w:t>
      </w:r>
    </w:p>
    <w:p>
      <w:pPr>
        <w:pStyle w:val="BodyText"/>
      </w:pPr>
      <w:r>
        <w:t xml:space="preserve">In grade 3, students were introduced to fractions as numbers. They learned to name and represent fractions, to recognize simple equivalent fractions, and to compare fractions with like numerators and denominators (limited to 2, 3, 4, 6, and 8). They used fraction strips, area diagrams, tape diagrams, and number lines to support their reasoning with fractions.</w:t>
      </w:r>
    </w:p>
    <w:p>
      <w:pPr>
        <w:pStyle w:val="BodyText"/>
      </w:pPr>
      <w:r>
        <w:t xml:space="preserve">This lesson activates students’ prior knowledge of unit fractions and includes fractions with new denominators 5, 6, 10, and 12. Students revisit the meaning of numerator and denominator, name unit fractions, create representations for them, and recall some strategies and tools for reasoning about fractions.</w:t>
      </w:r>
    </w:p>
    <w:p>
      <w:pPr>
        <w:pStyle w:val="BodyText"/>
      </w:pPr>
      <w:r>
        <w:t xml:space="preserve">The idea of equivalence may naturally come up (and will help to prepare students for upcoming work), but it is not the focus of this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2" w:name="instructional-routines"/>
    <w:p>
      <w:pPr>
        <w:pStyle w:val="Heading3"/>
      </w:pPr>
      <w:r>
        <w:t xml:space="preserve">Instructional Routines</w:t>
      </w:r>
    </w:p>
    <w:p>
      <w:pPr>
        <w:pStyle w:val="FirstParagraph"/>
      </w:pPr>
      <w:r>
        <w:t xml:space="preserve">MLR1 Stronger and Clearer Each Time (Activity 2), What Do You Know About _____? (Warm-up)</w:t>
      </w:r>
    </w:p>
    <w:bookmarkEnd w:id="32"/>
    <w:bookmarkStart w:id="33" w:name="materials-to-gather"/>
    <w:p>
      <w:pPr>
        <w:pStyle w:val="Heading3"/>
      </w:pPr>
      <w:r>
        <w:t xml:space="preserve">Materials to Gather</w:t>
      </w:r>
    </w:p>
    <w:p>
      <w:pPr>
        <w:numPr>
          <w:ilvl w:val="0"/>
          <w:numId w:val="1004"/>
        </w:numPr>
        <w:pStyle w:val="Compact"/>
      </w:pPr>
      <w:r>
        <w:t xml:space="preserve">Straightedges: Activity 1, Activity 2</w:t>
      </w:r>
    </w:p>
    <w:bookmarkEnd w:id="33"/>
    <w:bookmarkStart w:id="34" w:name="materials-to-copy"/>
    <w:p>
      <w:pPr>
        <w:pStyle w:val="Heading3"/>
      </w:pPr>
      <w:r>
        <w:t xml:space="preserve">Materials to Copy</w:t>
      </w:r>
    </w:p>
    <w:p>
      <w:pPr>
        <w:numPr>
          <w:ilvl w:val="0"/>
          <w:numId w:val="1005"/>
        </w:numPr>
        <w:pStyle w:val="Compact"/>
      </w:pPr>
      <w:r>
        <w:t xml:space="preserve">Fraction Strips (groups of 2): Activity 1</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What did you learn about each student and their foundational understanding of fractions based on their work today?</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What Do the Diagrams Show?</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Towards</w:t>
            </w:r>
          </w:p>
        </w:tc>
        <w:tc>
          <w:tcPr/>
          <w:p>
            <w:pPr>
              <w:pStyle w:val="Compact"/>
              <w:jc w:val="left"/>
            </w:pPr>
            <w:r>
              <w:t xml:space="preserve">4.NF.A.1</w:t>
            </w:r>
          </w:p>
        </w:tc>
      </w:tr>
    </w:tbl>
    <w:bookmarkEnd w:id="41"/>
    <w:bookmarkStart w:id="54" w:name="student-facing-task-statement"/>
    <w:p>
      <w:pPr>
        <w:pStyle w:val="Heading3"/>
      </w:pPr>
      <w:r>
        <w:t xml:space="preserve">Student-facing Task Statement</w:t>
      </w:r>
    </w:p>
    <w:p>
      <w:pPr>
        <w:pStyle w:val="FirstParagraph"/>
      </w:pPr>
      <w:r>
        <w:t xml:space="preserve">Each full diagram represents 1.</w:t>
      </w:r>
    </w:p>
    <w:p>
      <w:pPr>
        <w:numPr>
          <w:ilvl w:val="0"/>
          <w:numId w:val="1006"/>
        </w:numPr>
      </w:pPr>
      <w:r>
        <w:t xml:space="preserve">What fraction does each shaded part represent?</w:t>
      </w:r>
    </w:p>
    <w:p>
      <w:pPr>
        <w:numPr>
          <w:ilvl w:val="0"/>
          <w:numId w:val="1000"/>
        </w:numPr>
        <w:pStyle w:val="Compact"/>
      </w:pPr>
      <w:r>
        <w:drawing>
          <wp:inline>
            <wp:extent cx="2971800" cy="411491"/>
            <wp:effectExtent b="0" l="0" r="0" t="0"/>
            <wp:docPr descr="Diagram. Rectangle partitioned into 6 equal parts, 1 part shaded. " title="" id="43" name="Picture"/>
            <a:graphic>
              <a:graphicData uri="http://schemas.openxmlformats.org/drawingml/2006/picture">
                <pic:pic>
                  <pic:nvPicPr>
                    <pic:cNvPr descr="/app/tmp/embedder-1671023352.5200298.png" id="44" name="Picture"/>
                    <pic:cNvPicPr>
                      <a:picLocks noChangeArrowheads="1" noChangeAspect="1"/>
                    </pic:cNvPicPr>
                  </pic:nvPicPr>
                  <pic:blipFill>
                    <a:blip r:embed="rId42"/>
                    <a:stretch>
                      <a:fillRect/>
                    </a:stretch>
                  </pic:blipFill>
                  <pic:spPr bwMode="auto">
                    <a:xfrm>
                      <a:off x="0" y="0"/>
                      <a:ext cx="2971800" cy="411491"/>
                    </a:xfrm>
                    <a:prstGeom prst="rect">
                      <a:avLst/>
                    </a:prstGeom>
                    <a:noFill/>
                    <a:ln w="9525">
                      <a:noFill/>
                      <a:headEnd/>
                      <a:tailEnd/>
                    </a:ln>
                  </pic:spPr>
                </pic:pic>
              </a:graphicData>
            </a:graphic>
          </wp:inline>
        </w:drawing>
      </w:r>
    </w:p>
    <w:p>
      <w:pPr>
        <w:numPr>
          <w:ilvl w:val="0"/>
          <w:numId w:val="1000"/>
        </w:numPr>
        <w:pStyle w:val="Compact"/>
      </w:pPr>
      <w:r>
        <w:drawing>
          <wp:inline>
            <wp:extent cx="2971800" cy="411491"/>
            <wp:effectExtent b="0" l="0" r="0" t="0"/>
            <wp:docPr descr="diagram. 10 equal parts, 1 part shaded" title="" id="46" name="Picture"/>
            <a:graphic>
              <a:graphicData uri="http://schemas.openxmlformats.org/drawingml/2006/picture">
                <pic:pic>
                  <pic:nvPicPr>
                    <pic:cNvPr descr="/app/tmp/embedder-1671023352.5629592.png" id="47" name="Picture"/>
                    <pic:cNvPicPr>
                      <a:picLocks noChangeArrowheads="1" noChangeAspect="1"/>
                    </pic:cNvPicPr>
                  </pic:nvPicPr>
                  <pic:blipFill>
                    <a:blip r:embed="rId45"/>
                    <a:stretch>
                      <a:fillRect/>
                    </a:stretch>
                  </pic:blipFill>
                  <pic:spPr bwMode="auto">
                    <a:xfrm>
                      <a:off x="0" y="0"/>
                      <a:ext cx="2971800" cy="411491"/>
                    </a:xfrm>
                    <a:prstGeom prst="rect">
                      <a:avLst/>
                    </a:prstGeom>
                    <a:noFill/>
                    <a:ln w="9525">
                      <a:noFill/>
                      <a:headEnd/>
                      <a:tailEnd/>
                    </a:ln>
                  </pic:spPr>
                </pic:pic>
              </a:graphicData>
            </a:graphic>
          </wp:inline>
        </w:drawing>
      </w:r>
    </w:p>
    <w:p>
      <w:pPr>
        <w:numPr>
          <w:ilvl w:val="0"/>
          <w:numId w:val="1000"/>
        </w:numPr>
        <w:pStyle w:val="Compact"/>
      </w:pPr>
      <w:r>
        <w:drawing>
          <wp:inline>
            <wp:extent cx="2971800" cy="411491"/>
            <wp:effectExtent b="0" l="0" r="0" t="0"/>
            <wp:docPr descr="Tape diagram. " title="" id="49" name="Picture"/>
            <a:graphic>
              <a:graphicData uri="http://schemas.openxmlformats.org/drawingml/2006/picture">
                <pic:pic>
                  <pic:nvPicPr>
                    <pic:cNvPr descr="/app/tmp/embedder-1671023352.6077716.png" id="50" name="Picture"/>
                    <pic:cNvPicPr>
                      <a:picLocks noChangeArrowheads="1" noChangeAspect="1"/>
                    </pic:cNvPicPr>
                  </pic:nvPicPr>
                  <pic:blipFill>
                    <a:blip r:embed="rId48"/>
                    <a:stretch>
                      <a:fillRect/>
                    </a:stretch>
                  </pic:blipFill>
                  <pic:spPr bwMode="auto">
                    <a:xfrm>
                      <a:off x="0" y="0"/>
                      <a:ext cx="2971800" cy="411491"/>
                    </a:xfrm>
                    <a:prstGeom prst="rect">
                      <a:avLst/>
                    </a:prstGeom>
                    <a:noFill/>
                    <a:ln w="9525">
                      <a:noFill/>
                      <a:headEnd/>
                      <a:tailEnd/>
                    </a:ln>
                  </pic:spPr>
                </pic:pic>
              </a:graphicData>
            </a:graphic>
          </wp:inline>
        </w:drawing>
      </w:r>
    </w:p>
    <w:p>
      <w:pPr>
        <w:numPr>
          <w:ilvl w:val="0"/>
          <w:numId w:val="1006"/>
        </w:numPr>
      </w:pPr>
      <w:r>
        <w:t xml:space="preserve">Explain or show how you could use this diagram to represent sixths.</w:t>
      </w:r>
    </w:p>
    <w:p>
      <w:pPr>
        <w:numPr>
          <w:ilvl w:val="0"/>
          <w:numId w:val="1000"/>
        </w:numPr>
        <w:pStyle w:val="Compact"/>
      </w:pPr>
      <w:r>
        <w:drawing>
          <wp:inline>
            <wp:extent cx="2971800" cy="411491"/>
            <wp:effectExtent b="0" l="0" r="0" t="0"/>
            <wp:docPr descr="diagram. 2 equal parts." title="" id="52" name="Picture"/>
            <a:graphic>
              <a:graphicData uri="http://schemas.openxmlformats.org/drawingml/2006/picture">
                <pic:pic>
                  <pic:nvPicPr>
                    <pic:cNvPr descr="/app/tmp/embedder-1671023352.6499896.png" id="53" name="Picture"/>
                    <pic:cNvPicPr>
                      <a:picLocks noChangeArrowheads="1" noChangeAspect="1"/>
                    </pic:cNvPicPr>
                  </pic:nvPicPr>
                  <pic:blipFill>
                    <a:blip r:embed="rId51"/>
                    <a:stretch>
                      <a:fillRect/>
                    </a:stretch>
                  </pic:blipFill>
                  <pic:spPr bwMode="auto">
                    <a:xfrm>
                      <a:off x="0" y="0"/>
                      <a:ext cx="2971800" cy="411491"/>
                    </a:xfrm>
                    <a:prstGeom prst="rect">
                      <a:avLst/>
                    </a:prstGeom>
                    <a:noFill/>
                    <a:ln w="9525">
                      <a:noFill/>
                      <a:headEnd/>
                      <a:tailEnd/>
                    </a:ln>
                  </pic:spPr>
                </pic:pic>
              </a:graphicData>
            </a:graphic>
          </wp:inline>
        </w:drawing>
      </w:r>
    </w:p>
    <w:bookmarkEnd w:id="54"/>
    <w:bookmarkStart w:id="55" w:name="student-responses"/>
    <w:p>
      <w:pPr>
        <w:pStyle w:val="Heading3"/>
      </w:pPr>
      <w:r>
        <w:t xml:space="preserve">Student Responses</w:t>
      </w:r>
    </w:p>
    <w:p>
      <w:pPr>
        <w:numPr>
          <w:ilvl w:val="0"/>
          <w:numId w:val="1007"/>
        </w:numPr>
        <w:pStyle w:val="Compact"/>
      </w:pPr>
      <m:oMath>
        <m:f>
          <m:fPr>
            <m:type m:val="bar"/>
          </m:fPr>
          <m:num>
            <m:r>
              <m:t>1</m:t>
            </m:r>
          </m:num>
          <m:den>
            <m:r>
              <m:t>6</m:t>
            </m:r>
          </m:den>
        </m:f>
      </m:oMath>
      <w:r>
        <w:t xml:space="preserve">,</w:t>
      </w:r>
      <w:r>
        <w:t xml:space="preserve"> </w:t>
      </w:r>
      <m:oMath>
        <m:f>
          <m:fPr>
            <m:type m:val="bar"/>
          </m:fPr>
          <m:num>
            <m:r>
              <m:t>1</m:t>
            </m:r>
          </m:num>
          <m:den>
            <m:r>
              <m:t>10</m:t>
            </m:r>
          </m:den>
        </m:f>
      </m:oMath>
      <w:r>
        <w:t xml:space="preserve">, and</w:t>
      </w:r>
      <w:r>
        <w:t xml:space="preserve"> </w:t>
      </w:r>
      <m:oMath>
        <m:f>
          <m:fPr>
            <m:type m:val="bar"/>
          </m:fPr>
          <m:num>
            <m:r>
              <m:t>1</m:t>
            </m:r>
          </m:num>
          <m:den>
            <m:r>
              <m:t>5</m:t>
            </m:r>
          </m:den>
        </m:f>
      </m:oMath>
      <w:r>
        <w:t xml:space="preserve">.</w:t>
      </w:r>
    </w:p>
    <w:p>
      <w:pPr>
        <w:numPr>
          <w:ilvl w:val="0"/>
          <w:numId w:val="1007"/>
        </w:numPr>
        <w:pStyle w:val="Compact"/>
      </w:pPr>
      <w:r>
        <w:t xml:space="preserve">Sample response: Split each half into 3 equal parts so there will be a total of 6 parts. Each part is a sixth.</w:t>
      </w:r>
    </w:p>
    <w:bookmarkEnd w:id="55"/>
    <w:bookmarkEnd w:id="5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2022-12-14T13:09:13Z</dcterms:created>
  <dcterms:modified xsi:type="dcterms:W3CDTF">2022-12-14T13:09:13Z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8EKI4wWMM07fJeX7TLQo1v/4ARADUkvu9BtqXyqiM9/URs26aQTLExrBRuUd0AS+xhB4lhfYFvVxkY8vXq0wgg==</vt:lpwstr>
  </property>
</Properties>
</file>