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2.png" ContentType="image/png"/>
  <Override PartName="/word/media/rId27.png" ContentType="image/png"/>
  <Override PartName="/word/media/rId32.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2ec078d1790e8131b8e7b1dd8de5a9b18a89a3"/>
    <w:p>
      <w:pPr>
        <w:pStyle w:val="Heading2"/>
      </w:pPr>
      <w:r>
        <w:t xml:space="preserve">Unit 2 Lesson 14: Side Length Quotients in Similar Triangles</w:t>
      </w:r>
    </w:p>
    <w:bookmarkEnd w:id="20"/>
    <w:bookmarkStart w:id="26" w:name="two-three-four-and-four-five-six-warm-up"/>
    <w:p>
      <w:pPr>
        <w:pStyle w:val="Heading3"/>
      </w:pPr>
      <w:r>
        <w:t xml:space="preserve">1 Two-three-four and Four-five-six (Warm up)</w:t>
      </w:r>
    </w:p>
    <w:bookmarkStart w:id="21" w:name="student-task-statement"/>
    <w:p>
      <w:pPr>
        <w:pStyle w:val="Heading4"/>
      </w:pPr>
      <w:r>
        <w:t xml:space="preserve">Student Task Statement</w:t>
      </w:r>
    </w:p>
    <w:p>
      <w:pPr>
        <w:pStyle w:val="FirstParagraph"/>
      </w:pPr>
      <w:r>
        <w:t xml:space="preserve">Triangle</w:t>
      </w:r>
      <w:r>
        <w:t xml:space="preserve"> </w:t>
      </w:r>
      <m:oMath>
        <m:r>
          <m:t>A</m:t>
        </m:r>
      </m:oMath>
      <w:r>
        <w:t xml:space="preserve"> </w:t>
      </w:r>
      <w:r>
        <w:t xml:space="preserve">has side lengths 2, 3, and 4. Triangle</w:t>
      </w:r>
      <w:r>
        <w:t xml:space="preserve"> </w:t>
      </w:r>
      <m:oMath>
        <m:r>
          <m:t>B</m:t>
        </m:r>
      </m:oMath>
      <w:r>
        <w:t xml:space="preserve"> </w:t>
      </w:r>
      <w:r>
        <w:t xml:space="preserve">has side lengths 4, 5, and 6. Is Triangle</w:t>
      </w:r>
      <w:r>
        <w:t xml:space="preserve"> </w:t>
      </w:r>
      <m:oMath>
        <m:r>
          <m:t>A</m:t>
        </m:r>
      </m:oMath>
      <w:r>
        <w:t xml:space="preserve"> </w:t>
      </w:r>
      <w:r>
        <w:t xml:space="preserve">similar to Triangle</w:t>
      </w:r>
      <w:r>
        <w:t xml:space="preserve"> </w:t>
      </w:r>
      <m:oMath>
        <m:r>
          <m:t>B</m:t>
        </m:r>
      </m:oMath>
      <w:r>
        <w:t xml:space="preserve">?</w:t>
      </w:r>
    </w:p>
    <w:bookmarkEnd w:id="21"/>
    <w:bookmarkStart w:id="25" w:name="activity-synthesis"/>
    <w:p>
      <w:pPr>
        <w:pStyle w:val="Heading4"/>
      </w:pPr>
      <w:r>
        <w:t xml:space="preserve">Activity Synthesis</w:t>
      </w:r>
    </w:p>
    <w:p>
      <w:pPr>
        <w:pStyle w:val="FirstParagraph"/>
      </w:pPr>
      <w:r>
        <w:drawing>
          <wp:inline>
            <wp:extent cx="3966477" cy="2841062"/>
            <wp:effectExtent b="0" l="0" r="0" t="0"/>
            <wp:docPr descr="Two triangles. First with side lengths 3, 4, 2. Second with side lengths 5, 6, 4." title="" id="23" name="Picture"/>
            <a:graphic>
              <a:graphicData uri="http://schemas.openxmlformats.org/drawingml/2006/picture">
                <pic:pic>
                  <pic:nvPicPr>
                    <pic:cNvPr descr="/app/tmp/embedder-1671073417.3954358.png" id="24" name="Picture"/>
                    <pic:cNvPicPr>
                      <a:picLocks noChangeArrowheads="1" noChangeAspect="1"/>
                    </pic:cNvPicPr>
                  </pic:nvPicPr>
                  <pic:blipFill>
                    <a:blip r:embed="rId22"/>
                    <a:stretch>
                      <a:fillRect/>
                    </a:stretch>
                  </pic:blipFill>
                  <pic:spPr bwMode="auto">
                    <a:xfrm>
                      <a:off x="0" y="0"/>
                      <a:ext cx="3966477" cy="2841062"/>
                    </a:xfrm>
                    <a:prstGeom prst="rect">
                      <a:avLst/>
                    </a:prstGeom>
                    <a:noFill/>
                    <a:ln w="9525">
                      <a:noFill/>
                      <a:headEnd/>
                      <a:tailEnd/>
                    </a:ln>
                  </pic:spPr>
                </pic:pic>
              </a:graphicData>
            </a:graphic>
          </wp:inline>
        </w:drawing>
      </w:r>
    </w:p>
    <w:bookmarkEnd w:id="25"/>
    <w:bookmarkEnd w:id="26"/>
    <w:bookmarkStart w:id="31" w:name="X1ce4dd0220d81678a75a4e32401d6f68054aab3"/>
    <w:p>
      <w:pPr>
        <w:pStyle w:val="Heading3"/>
      </w:pPr>
      <w:r>
        <w:t xml:space="preserve">2 Quotients of Sides Within Similar Triangles</w:t>
      </w:r>
    </w:p>
    <w:bookmarkStart w:id="30" w:name="student-task-statement-1"/>
    <w:p>
      <w:pPr>
        <w:pStyle w:val="Heading4"/>
      </w:pPr>
      <w:r>
        <w:t xml:space="preserve">Student Task Statement</w:t>
      </w:r>
    </w:p>
    <w:p>
      <w:pPr>
        <w:pStyle w:val="FirstParagraph"/>
      </w:pPr>
      <w:r>
        <w:t xml:space="preserve">Triangle </w:t>
      </w:r>
      <m:oMath>
        <m:r>
          <m:t>A</m:t>
        </m:r>
        <m:r>
          <m:t>B</m:t>
        </m:r>
        <m:r>
          <m:t>C</m:t>
        </m:r>
      </m:oMath>
      <w:r>
        <w:t xml:space="preserve"> </w:t>
      </w:r>
      <w:r>
        <w:t xml:space="preserve">is similar to triangles</w:t>
      </w:r>
      <w:r>
        <w:t xml:space="preserve"> </w:t>
      </w:r>
      <m:oMath>
        <m:r>
          <m:t>D</m:t>
        </m:r>
        <m:r>
          <m:t>E</m:t>
        </m:r>
        <m:r>
          <m:t>F</m:t>
        </m:r>
      </m:oMath>
      <w:r>
        <w:t xml:space="preserve">,</w:t>
      </w:r>
      <w:r>
        <w:t xml:space="preserve"> </w:t>
      </w:r>
      <m:oMath>
        <m:r>
          <m:t>G</m:t>
        </m:r>
        <m:r>
          <m:t>H</m:t>
        </m:r>
        <m:r>
          <m:t>I</m:t>
        </m:r>
      </m:oMath>
      <w:r>
        <w:t xml:space="preserve">, and</w:t>
      </w:r>
      <w:r>
        <w:t xml:space="preserve"> </w:t>
      </w:r>
      <m:oMath>
        <m:r>
          <m:t>J</m:t>
        </m:r>
        <m:r>
          <m:t>K</m:t>
        </m:r>
        <m:r>
          <m:t>L</m:t>
        </m:r>
      </m:oMath>
      <w:r>
        <w:t xml:space="preserve">. The scale factors for the dilations that show triangle</w:t>
      </w:r>
      <w:r>
        <w:t xml:space="preserve"> </w:t>
      </w:r>
      <m:oMath>
        <m:r>
          <m:t>A</m:t>
        </m:r>
        <m:r>
          <m:t>B</m:t>
        </m:r>
        <m:r>
          <m:t>C</m:t>
        </m:r>
      </m:oMath>
      <w:r>
        <w:t xml:space="preserve"> </w:t>
      </w:r>
      <w:r>
        <w:t xml:space="preserve">is similar to each triangle are in the table.</w:t>
      </w:r>
    </w:p>
    <w:p>
      <w:pPr>
        <w:pStyle w:val="BodyText"/>
      </w:pPr>
      <w:r>
        <w:drawing>
          <wp:inline>
            <wp:extent cx="2180492" cy="2244714"/>
            <wp:effectExtent b="0" l="0" r="0" t="0"/>
            <wp:docPr descr="Triangle A, B C. Side A, B length 4, side B C length 7, side C A, length 5." title="" id="28" name="Picture"/>
            <a:graphic>
              <a:graphicData uri="http://schemas.openxmlformats.org/drawingml/2006/picture">
                <pic:pic>
                  <pic:nvPicPr>
                    <pic:cNvPr descr="/app/tmp/embedder-1671073417.4230964.png" id="29" name="Picture"/>
                    <pic:cNvPicPr>
                      <a:picLocks noChangeArrowheads="1" noChangeAspect="1"/>
                    </pic:cNvPicPr>
                  </pic:nvPicPr>
                  <pic:blipFill>
                    <a:blip r:embed="rId27"/>
                    <a:stretch>
                      <a:fillRect/>
                    </a:stretch>
                  </pic:blipFill>
                  <pic:spPr bwMode="auto">
                    <a:xfrm>
                      <a:off x="0" y="0"/>
                      <a:ext cx="2180492" cy="2244714"/>
                    </a:xfrm>
                    <a:prstGeom prst="rect">
                      <a:avLst/>
                    </a:prstGeom>
                    <a:noFill/>
                    <a:ln w="9525">
                      <a:noFill/>
                      <a:headEnd/>
                      <a:tailEnd/>
                    </a:ln>
                  </pic:spPr>
                </pic:pic>
              </a:graphicData>
            </a:graphic>
          </wp:inline>
        </w:drawing>
      </w:r>
    </w:p>
    <w:p>
      <w:pPr>
        <w:numPr>
          <w:ilvl w:val="0"/>
          <w:numId w:val="1001"/>
        </w:numPr>
      </w:pPr>
      <w:r>
        <w:t xml:space="preserve">Find the side lengths of triangles</w:t>
      </w:r>
      <w:r>
        <w:t xml:space="preserve"> </w:t>
      </w:r>
      <m:oMath>
        <m:r>
          <m:t>D</m:t>
        </m:r>
        <m:r>
          <m:t>E</m:t>
        </m:r>
        <m:r>
          <m:t>F</m:t>
        </m:r>
      </m:oMath>
      <w:r>
        <w:t xml:space="preserve">,</w:t>
      </w:r>
      <w:r>
        <w:t xml:space="preserve"> </w:t>
      </w:r>
      <m:oMath>
        <m:r>
          <m:t>G</m:t>
        </m:r>
        <m:r>
          <m:t>H</m:t>
        </m:r>
        <m:r>
          <m:t>I</m:t>
        </m:r>
      </m:oMath>
      <w:r>
        <w:t xml:space="preserve">, and</w:t>
      </w:r>
      <w:r>
        <w:t xml:space="preserve"> </w:t>
      </w:r>
      <m:oMath>
        <m:r>
          <m:t>J</m:t>
        </m:r>
        <m:r>
          <m:t>K</m:t>
        </m:r>
        <m:r>
          <m:t>L</m:t>
        </m:r>
      </m:oMath>
      <w:r>
        <w:t xml:space="preserve">. Record them in the table.</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numPr>
                <w:ilvl w:val="0"/>
                <w:numId w:val="1000"/>
              </w:numPr>
              <w:pStyle w:val="Compact"/>
              <w:jc w:val="left"/>
            </w:pPr>
            <w:r>
              <w:t xml:space="preserve">triangle</w:t>
            </w:r>
          </w:p>
        </w:tc>
        <w:tc>
          <w:tcPr/>
          <w:p>
            <w:pPr>
              <w:numPr>
                <w:ilvl w:val="0"/>
                <w:numId w:val="1000"/>
              </w:numPr>
              <w:pStyle w:val="Compact"/>
              <w:jc w:val="left"/>
            </w:pPr>
            <w:r>
              <w:t xml:space="preserve">scale factor</w:t>
            </w:r>
          </w:p>
        </w:tc>
        <w:tc>
          <w:tcPr/>
          <w:p>
            <w:pPr>
              <w:numPr>
                <w:ilvl w:val="0"/>
                <w:numId w:val="1000"/>
              </w:numPr>
              <w:pStyle w:val="Compact"/>
              <w:jc w:val="left"/>
            </w:pPr>
            <w:r>
              <w:t xml:space="preserve">length of</w:t>
            </w:r>
            <w:r>
              <w:br/>
            </w:r>
            <w:r>
              <w:t xml:space="preserve">short side</w:t>
            </w:r>
          </w:p>
        </w:tc>
        <w:tc>
          <w:tcPr/>
          <w:p>
            <w:pPr>
              <w:numPr>
                <w:ilvl w:val="0"/>
                <w:numId w:val="1000"/>
              </w:numPr>
              <w:pStyle w:val="Compact"/>
              <w:jc w:val="left"/>
            </w:pPr>
            <w:r>
              <w:t xml:space="preserve">length of</w:t>
            </w:r>
            <w:r>
              <w:br/>
            </w:r>
            <w:r>
              <w:t xml:space="preserve">medium side</w:t>
            </w:r>
          </w:p>
        </w:tc>
        <w:tc>
          <w:tcPr/>
          <w:p>
            <w:pPr>
              <w:numPr>
                <w:ilvl w:val="0"/>
                <w:numId w:val="1000"/>
              </w:numPr>
              <w:pStyle w:val="Compact"/>
              <w:jc w:val="left"/>
            </w:pPr>
            <w:r>
              <w:t xml:space="preserve">length of</w:t>
            </w:r>
            <w:r>
              <w:br/>
            </w:r>
            <w:r>
              <w:t xml:space="preserve">long side</w:t>
            </w:r>
          </w:p>
        </w:tc>
      </w:tr>
      <w:tr>
        <w:tc>
          <w:tcPr/>
          <w:p>
            <w:pPr>
              <w:numPr>
                <w:ilvl w:val="0"/>
                <w:numId w:val="1000"/>
              </w:numPr>
              <w:pStyle w:val="Compact"/>
              <w:jc w:val="left"/>
            </w:pPr>
            <m:oMath>
              <m:r>
                <m:t>A</m:t>
              </m:r>
              <m:r>
                <m:t>B</m:t>
              </m:r>
              <m:r>
                <m:t>C</m:t>
              </m:r>
            </m:oMath>
          </w:p>
        </w:tc>
        <w:tc>
          <w:tcPr/>
          <w:p>
            <w:pPr>
              <w:numPr>
                <w:ilvl w:val="0"/>
                <w:numId w:val="1000"/>
              </w:numPr>
              <w:pStyle w:val="Compact"/>
              <w:jc w:val="left"/>
            </w:pPr>
            <w:r>
              <w:t xml:space="preserve">1</w:t>
            </w:r>
          </w:p>
        </w:tc>
        <w:tc>
          <w:tcPr/>
          <w:p>
            <w:pPr>
              <w:numPr>
                <w:ilvl w:val="0"/>
                <w:numId w:val="1000"/>
              </w:numPr>
              <w:pStyle w:val="Compact"/>
              <w:jc w:val="left"/>
            </w:pPr>
            <w:r>
              <w:t xml:space="preserve">4</w:t>
            </w:r>
          </w:p>
        </w:tc>
        <w:tc>
          <w:tcPr/>
          <w:p>
            <w:pPr>
              <w:numPr>
                <w:ilvl w:val="0"/>
                <w:numId w:val="1000"/>
              </w:numPr>
              <w:pStyle w:val="Compact"/>
              <w:jc w:val="left"/>
            </w:pPr>
            <w:r>
              <w:t xml:space="preserve">5</w:t>
            </w:r>
          </w:p>
        </w:tc>
        <w:tc>
          <w:tcPr/>
          <w:p>
            <w:pPr>
              <w:numPr>
                <w:ilvl w:val="0"/>
                <w:numId w:val="1000"/>
              </w:numPr>
              <w:pStyle w:val="Compact"/>
              <w:jc w:val="left"/>
            </w:pPr>
            <w:r>
              <w:t xml:space="preserve">7</w:t>
            </w:r>
          </w:p>
        </w:tc>
      </w:tr>
      <w:tr>
        <w:tc>
          <w:tcPr/>
          <w:p>
            <w:pPr>
              <w:numPr>
                <w:ilvl w:val="0"/>
                <w:numId w:val="1000"/>
              </w:numPr>
              <w:pStyle w:val="Compact"/>
              <w:jc w:val="left"/>
            </w:pPr>
            <m:oMath>
              <m:r>
                <m:t>D</m:t>
              </m:r>
              <m:r>
                <m:t>E</m:t>
              </m:r>
              <m:r>
                <m:t>F</m:t>
              </m:r>
            </m:oMath>
          </w:p>
        </w:tc>
        <w:tc>
          <w:tcPr/>
          <w:p>
            <w:pPr>
              <w:numPr>
                <w:ilvl w:val="0"/>
                <w:numId w:val="1000"/>
              </w:numPr>
              <w:pStyle w:val="Compact"/>
              <w:jc w:val="left"/>
            </w:pPr>
            <w:r>
              <w:t xml:space="preserve">2</w:t>
            </w:r>
          </w:p>
        </w:tc>
        <w:tc>
          <w:tcPr/>
          <w:p>
            <w:pPr>
              <w:pStyle w:val="Compact"/>
            </w:pPr>
          </w:p>
        </w:tc>
        <w:tc>
          <w:tcPr/>
          <w:p>
            <w:pPr>
              <w:pStyle w:val="Compact"/>
            </w:pPr>
          </w:p>
        </w:tc>
        <w:tc>
          <w:tcPr/>
          <w:p>
            <w:pPr>
              <w:pStyle w:val="Compact"/>
            </w:pPr>
          </w:p>
        </w:tc>
      </w:tr>
      <w:tr>
        <w:tc>
          <w:tcPr/>
          <w:p>
            <w:pPr>
              <w:numPr>
                <w:ilvl w:val="0"/>
                <w:numId w:val="1000"/>
              </w:numPr>
              <w:pStyle w:val="Compact"/>
              <w:jc w:val="left"/>
            </w:pPr>
            <m:oMath>
              <m:r>
                <m:t>G</m:t>
              </m:r>
              <m:r>
                <m:t>H</m:t>
              </m:r>
              <m:r>
                <m:t>I</m:t>
              </m:r>
            </m:oMath>
          </w:p>
        </w:tc>
        <w:tc>
          <w:tcPr/>
          <w:p>
            <w:pPr>
              <w:numPr>
                <w:ilvl w:val="0"/>
                <w:numId w:val="1000"/>
              </w:numPr>
              <w:pStyle w:val="Compact"/>
              <w:jc w:val="left"/>
            </w:pPr>
            <w:r>
              <w:t xml:space="preserve">3</w:t>
            </w:r>
          </w:p>
        </w:tc>
        <w:tc>
          <w:tcPr/>
          <w:p>
            <w:pPr>
              <w:pStyle w:val="Compact"/>
            </w:pPr>
          </w:p>
        </w:tc>
        <w:tc>
          <w:tcPr/>
          <w:p>
            <w:pPr>
              <w:pStyle w:val="Compact"/>
            </w:pPr>
          </w:p>
        </w:tc>
        <w:tc>
          <w:tcPr/>
          <w:p>
            <w:pPr>
              <w:pStyle w:val="Compact"/>
            </w:pPr>
          </w:p>
        </w:tc>
      </w:tr>
      <w:tr>
        <w:tc>
          <w:tcPr/>
          <w:p>
            <w:pPr>
              <w:numPr>
                <w:ilvl w:val="0"/>
                <w:numId w:val="1000"/>
              </w:numPr>
              <w:pStyle w:val="Compact"/>
              <w:jc w:val="left"/>
            </w:pPr>
            <m:oMath>
              <m:r>
                <m:t>J</m:t>
              </m:r>
              <m:r>
                <m:t>K</m:t>
              </m:r>
              <m:r>
                <m:t>L</m:t>
              </m:r>
            </m:oMath>
          </w:p>
        </w:tc>
        <w:tc>
          <w:tcPr/>
          <w:p>
            <w:pPr>
              <w:numPr>
                <w:ilvl w:val="0"/>
                <w:numId w:val="1000"/>
              </w:numPr>
              <w:pStyle w:val="Compact"/>
              <w:jc w:val="left"/>
            </w:pPr>
            <m:oMath>
              <m:f>
                <m:fPr>
                  <m:type m:val="bar"/>
                </m:fPr>
                <m:num>
                  <m:r>
                    <m:t>1</m:t>
                  </m:r>
                </m:num>
                <m:den>
                  <m:r>
                    <m:t>2</m:t>
                  </m:r>
                </m:den>
              </m:f>
            </m:oMath>
          </w:p>
        </w:tc>
        <w:tc>
          <w:tcPr/>
          <w:p>
            <w:pPr>
              <w:pStyle w:val="Compact"/>
            </w:pPr>
          </w:p>
        </w:tc>
        <w:tc>
          <w:tcPr/>
          <w:p>
            <w:pPr>
              <w:pStyle w:val="Compact"/>
            </w:pPr>
          </w:p>
        </w:tc>
        <w:tc>
          <w:tcPr/>
          <w:p>
            <w:pPr>
              <w:pStyle w:val="Compact"/>
            </w:pPr>
          </w:p>
        </w:tc>
      </w:tr>
    </w:tbl>
    <w:p>
      <w:pPr>
        <w:numPr>
          <w:ilvl w:val="0"/>
          <w:numId w:val="1001"/>
        </w:numPr>
      </w:pPr>
      <w:r>
        <w:t xml:space="preserve">Your teacher will assign you one of the three columns. For all four triangles, find the quotient of the triangle side lengths assigned to you and record it in the table. What do you notice about the quotients?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triangle</w:t>
            </w:r>
          </w:p>
        </w:tc>
        <w:tc>
          <w:tcPr/>
          <w:p>
            <w:pPr>
              <w:numPr>
                <w:ilvl w:val="0"/>
                <w:numId w:val="1000"/>
              </w:numPr>
              <w:pStyle w:val="Compact"/>
              <w:jc w:val="left"/>
            </w:pPr>
            <w:r>
              <w:t xml:space="preserve">(long side)</w:t>
            </w:r>
            <w:r>
              <w:t xml:space="preserve"> </w:t>
            </w:r>
            <m:oMath>
              <m:r>
                <m:rPr>
                  <m:sty m:val="p"/>
                </m:rPr>
                <m:t>÷</m:t>
              </m:r>
            </m:oMath>
            <w:r>
              <w:t xml:space="preserve"> </w:t>
            </w:r>
            <w:r>
              <w:t xml:space="preserve">(short side)</w:t>
            </w:r>
          </w:p>
        </w:tc>
        <w:tc>
          <w:tcPr/>
          <w:p>
            <w:pPr>
              <w:numPr>
                <w:ilvl w:val="0"/>
                <w:numId w:val="1000"/>
              </w:numPr>
              <w:pStyle w:val="Compact"/>
              <w:jc w:val="left"/>
            </w:pPr>
            <w:r>
              <w:t xml:space="preserve">(long side)</w:t>
            </w:r>
            <w:r>
              <w:t xml:space="preserve"> </w:t>
            </w:r>
            <m:oMath>
              <m:r>
                <m:rPr>
                  <m:sty m:val="p"/>
                </m:rPr>
                <m:t>÷</m:t>
              </m:r>
            </m:oMath>
            <w:r>
              <w:t xml:space="preserve"> </w:t>
            </w:r>
            <w:r>
              <w:t xml:space="preserve">(medium side)</w:t>
            </w:r>
          </w:p>
        </w:tc>
        <w:tc>
          <w:tcPr/>
          <w:p>
            <w:pPr>
              <w:numPr>
                <w:ilvl w:val="0"/>
                <w:numId w:val="1000"/>
              </w:numPr>
              <w:pStyle w:val="Compact"/>
              <w:jc w:val="left"/>
            </w:pPr>
            <w:r>
              <w:t xml:space="preserve">(medium side)</w:t>
            </w:r>
            <w:r>
              <w:t xml:space="preserve"> </w:t>
            </w:r>
            <m:oMath>
              <m:r>
                <m:rPr>
                  <m:sty m:val="p"/>
                </m:rPr>
                <m:t>÷</m:t>
              </m:r>
            </m:oMath>
            <w:r>
              <w:t xml:space="preserve"> </w:t>
            </w:r>
            <w:r>
              <w:t xml:space="preserve">(short side)</w:t>
            </w:r>
          </w:p>
        </w:tc>
      </w:tr>
      <w:tr>
        <w:tc>
          <w:tcPr/>
          <w:p>
            <w:pPr>
              <w:numPr>
                <w:ilvl w:val="0"/>
                <w:numId w:val="1000"/>
              </w:numPr>
              <w:pStyle w:val="Compact"/>
              <w:jc w:val="left"/>
            </w:pPr>
            <m:oMath>
              <m:r>
                <m:t>A</m:t>
              </m:r>
              <m:r>
                <m:t>B</m:t>
              </m:r>
              <m:r>
                <m:t>C</m:t>
              </m:r>
            </m:oMath>
          </w:p>
        </w:tc>
        <w:tc>
          <w:tcPr/>
          <w:p>
            <w:pPr>
              <w:numPr>
                <w:ilvl w:val="0"/>
                <w:numId w:val="1000"/>
              </w:numPr>
              <w:pStyle w:val="Compact"/>
              <w:jc w:val="left"/>
            </w:pPr>
            <m:oMath>
              <m:f>
                <m:fPr>
                  <m:type m:val="bar"/>
                </m:fPr>
                <m:num>
                  <m:r>
                    <m:t>7</m:t>
                  </m:r>
                </m:num>
                <m:den>
                  <m:r>
                    <m:t>4</m:t>
                  </m:r>
                </m:den>
              </m:f>
            </m:oMath>
            <w:r>
              <w:t xml:space="preserve"> </w:t>
            </w:r>
            <w:r>
              <w:t xml:space="preserve">or 1.75</w:t>
            </w:r>
          </w:p>
        </w:tc>
        <w:tc>
          <w:tcPr/>
          <w:p>
            <w:pPr>
              <w:pStyle w:val="Compact"/>
            </w:pPr>
          </w:p>
        </w:tc>
        <w:tc>
          <w:tcPr/>
          <w:p>
            <w:pPr>
              <w:pStyle w:val="Compact"/>
            </w:pPr>
          </w:p>
        </w:tc>
      </w:tr>
      <w:tr>
        <w:tc>
          <w:tcPr/>
          <w:p>
            <w:pPr>
              <w:numPr>
                <w:ilvl w:val="0"/>
                <w:numId w:val="1000"/>
              </w:numPr>
              <w:pStyle w:val="Compact"/>
              <w:jc w:val="left"/>
            </w:pPr>
            <m:oMath>
              <m:r>
                <m:t>D</m:t>
              </m:r>
              <m:r>
                <m:t>E</m:t>
              </m:r>
              <m:r>
                <m:t>F</m:t>
              </m:r>
            </m:oMath>
          </w:p>
        </w:tc>
        <w:tc>
          <w:tcPr/>
          <w:p>
            <w:pPr>
              <w:pStyle w:val="Compact"/>
            </w:pPr>
          </w:p>
        </w:tc>
        <w:tc>
          <w:tcPr/>
          <w:p>
            <w:pPr>
              <w:pStyle w:val="Compact"/>
            </w:pPr>
          </w:p>
        </w:tc>
        <w:tc>
          <w:tcPr/>
          <w:p>
            <w:pPr>
              <w:pStyle w:val="Compact"/>
            </w:pPr>
          </w:p>
        </w:tc>
      </w:tr>
      <w:tr>
        <w:tc>
          <w:tcPr/>
          <w:p>
            <w:pPr>
              <w:numPr>
                <w:ilvl w:val="0"/>
                <w:numId w:val="1000"/>
              </w:numPr>
              <w:pStyle w:val="Compact"/>
              <w:jc w:val="left"/>
            </w:pPr>
            <m:oMath>
              <m:r>
                <m:t>G</m:t>
              </m:r>
              <m:r>
                <m:t>H</m:t>
              </m:r>
              <m:r>
                <m:t>I</m:t>
              </m:r>
            </m:oMath>
          </w:p>
        </w:tc>
        <w:tc>
          <w:tcPr/>
          <w:p>
            <w:pPr>
              <w:pStyle w:val="Compact"/>
            </w:pPr>
          </w:p>
        </w:tc>
        <w:tc>
          <w:tcPr/>
          <w:p>
            <w:pPr>
              <w:pStyle w:val="Compact"/>
            </w:pPr>
          </w:p>
        </w:tc>
        <w:tc>
          <w:tcPr/>
          <w:p>
            <w:pPr>
              <w:pStyle w:val="Compact"/>
            </w:pPr>
          </w:p>
        </w:tc>
      </w:tr>
      <w:tr>
        <w:tc>
          <w:tcPr/>
          <w:p>
            <w:pPr>
              <w:numPr>
                <w:ilvl w:val="0"/>
                <w:numId w:val="1000"/>
              </w:numPr>
              <w:pStyle w:val="Compact"/>
              <w:jc w:val="left"/>
            </w:pPr>
            <m:oMath>
              <m:r>
                <m:t>J</m:t>
              </m:r>
              <m:r>
                <m:t>K</m:t>
              </m:r>
              <m:r>
                <m:t>L</m:t>
              </m:r>
            </m:oMath>
          </w:p>
        </w:tc>
        <w:tc>
          <w:tcPr/>
          <w:p>
            <w:pPr>
              <w:pStyle w:val="Compact"/>
            </w:pPr>
          </w:p>
        </w:tc>
        <w:tc>
          <w:tcPr/>
          <w:p>
            <w:pPr>
              <w:pStyle w:val="Compact"/>
            </w:pPr>
          </w:p>
        </w:tc>
        <w:tc>
          <w:tcPr/>
          <w:p>
            <w:pPr>
              <w:pStyle w:val="Compact"/>
            </w:pPr>
          </w:p>
        </w:tc>
      </w:tr>
    </w:tbl>
    <w:p>
      <w:pPr>
        <w:numPr>
          <w:ilvl w:val="0"/>
          <w:numId w:val="1001"/>
        </w:numPr>
        <w:pStyle w:val="Compact"/>
      </w:pPr>
      <w:r>
        <w:t xml:space="preserve">Compare your results with your partners’ and complete your table.</w:t>
      </w:r>
    </w:p>
    <w:bookmarkEnd w:id="30"/>
    <w:bookmarkEnd w:id="31"/>
    <w:bookmarkStart w:id="43" w:name="X98a0b78c56fbdd3a1e38056f8cd0797a1a1c7f0"/>
    <w:p>
      <w:pPr>
        <w:pStyle w:val="Heading3"/>
      </w:pPr>
      <w:r>
        <w:t xml:space="preserve">3 Using Side Quotients to Find Side Lengths of Similar Triangles</w:t>
      </w:r>
    </w:p>
    <w:bookmarkStart w:id="35" w:name="student-task-statement-2"/>
    <w:p>
      <w:pPr>
        <w:pStyle w:val="Heading4"/>
      </w:pPr>
      <w:r>
        <w:t xml:space="preserve">Student Task Statement</w:t>
      </w:r>
    </w:p>
    <w:p>
      <w:pPr>
        <w:pStyle w:val="FirstParagraph"/>
      </w:pPr>
      <w:r>
        <w:t xml:space="preserve">Triangles</w:t>
      </w:r>
      <w:r>
        <w:t xml:space="preserve"> </w:t>
      </w:r>
      <m:oMath>
        <m:r>
          <m:t>A</m:t>
        </m:r>
        <m:r>
          <m:t>B</m:t>
        </m:r>
        <m:r>
          <m:t>C</m:t>
        </m:r>
      </m:oMath>
      <w:r>
        <w:t xml:space="preserve">,</w:t>
      </w:r>
      <w:r>
        <w:t xml:space="preserve"> </w:t>
      </w:r>
      <m:oMath>
        <m:r>
          <m:t>E</m:t>
        </m:r>
        <m:r>
          <m:t>F</m:t>
        </m:r>
        <m:r>
          <m:t>D</m:t>
        </m:r>
      </m:oMath>
      <w:r>
        <w:t xml:space="preserve">, and</w:t>
      </w:r>
      <w:r>
        <w:t xml:space="preserve"> </w:t>
      </w:r>
      <m:oMath>
        <m:r>
          <m:t>G</m:t>
        </m:r>
        <m:r>
          <m:t>H</m:t>
        </m:r>
        <m:r>
          <m:t>I</m:t>
        </m:r>
      </m:oMath>
      <w:r>
        <w:t xml:space="preserve"> </w:t>
      </w:r>
      <w:r>
        <w:t xml:space="preserve">are all similar. The side lengths of the triangles all have the same units. Find the unknown side lengths.</w:t>
      </w:r>
    </w:p>
    <w:p>
      <w:pPr>
        <w:pStyle w:val="BodyText"/>
      </w:pPr>
      <w:r>
        <w:drawing>
          <wp:inline>
            <wp:extent cx="2938924" cy="3064310"/>
            <wp:effectExtent b="0" l="0" r="0" t="0"/>
            <wp:docPr descr="Three triangles." title="" id="33" name="Picture"/>
            <a:graphic>
              <a:graphicData uri="http://schemas.openxmlformats.org/drawingml/2006/picture">
                <pic:pic>
                  <pic:nvPicPr>
                    <pic:cNvPr descr="/app/tmp/embedder-1671073417.449916.png" id="34" name="Picture"/>
                    <pic:cNvPicPr>
                      <a:picLocks noChangeArrowheads="1" noChangeAspect="1"/>
                    </pic:cNvPicPr>
                  </pic:nvPicPr>
                  <pic:blipFill>
                    <a:blip r:embed="rId32"/>
                    <a:stretch>
                      <a:fillRect/>
                    </a:stretch>
                  </pic:blipFill>
                  <pic:spPr bwMode="auto">
                    <a:xfrm>
                      <a:off x="0" y="0"/>
                      <a:ext cx="2938924" cy="3064310"/>
                    </a:xfrm>
                    <a:prstGeom prst="rect">
                      <a:avLst/>
                    </a:prstGeom>
                    <a:noFill/>
                    <a:ln w="9525">
                      <a:noFill/>
                      <a:headEnd/>
                      <a:tailEnd/>
                    </a:ln>
                  </pic:spPr>
                </pic:pic>
              </a:graphicData>
            </a:graphic>
          </wp:inline>
        </w:drawing>
      </w:r>
    </w:p>
    <w:p>
      <w:pPr>
        <w:pStyle w:val="BodyText"/>
      </w:pPr>
      <w:r>
        <w:t xml:space="preserve"> </w:t>
      </w:r>
    </w:p>
    <w:bookmarkEnd w:id="35"/>
    <w:bookmarkStart w:id="42" w:name="images-for-activity-synthesis"/>
    <w:p>
      <w:pPr>
        <w:pStyle w:val="Heading4"/>
      </w:pPr>
      <w:r>
        <w:t xml:space="preserve">Images for Activity Synthesis</w:t>
      </w:r>
    </w:p>
    <w:p>
      <w:pPr>
        <w:pStyle w:val="FirstParagraph"/>
      </w:pPr>
      <w:r>
        <w:drawing>
          <wp:inline>
            <wp:extent cx="3458817" cy="3290616"/>
            <wp:effectExtent b="0" l="0" r="0" t="0"/>
            <wp:docPr descr="Two triangles." title="" id="37" name="Picture"/>
            <a:graphic>
              <a:graphicData uri="http://schemas.openxmlformats.org/drawingml/2006/picture">
                <pic:pic>
                  <pic:nvPicPr>
                    <pic:cNvPr descr="/app/tmp/embedder-1671073417.4769237.png" id="38" name="Picture"/>
                    <pic:cNvPicPr>
                      <a:picLocks noChangeArrowheads="1" noChangeAspect="1"/>
                    </pic:cNvPicPr>
                  </pic:nvPicPr>
                  <pic:blipFill>
                    <a:blip r:embed="rId36"/>
                    <a:stretch>
                      <a:fillRect/>
                    </a:stretch>
                  </pic:blipFill>
                  <pic:spPr bwMode="auto">
                    <a:xfrm>
                      <a:off x="0" y="0"/>
                      <a:ext cx="3458817" cy="3290616"/>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2" Target="media/rId22.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2022-12-15T03:03:38Z</dcterms:created>
  <dcterms:modified xsi:type="dcterms:W3CDTF">2022-12-15T03:03:38Z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IltZJ9JJy5aFTtgITei01O8brNiUKfW81fzajDaiFe/BFaNgvmpEQo3dcoWc7jUR0yvkdMmwjWvA4Bxroc9DRw==</vt:lpwstr>
  </property>
</Properties>
</file>