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f5607cffef3b306d2ca91a2a651af639ec3ffd2"/>
    <w:p>
      <w:pPr>
        <w:pStyle w:val="Heading1"/>
      </w:pPr>
      <w:r>
        <w:t xml:space="preserve">Lesson 2: Sumas y diferencias de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4.NF.A.1, 4.NF.A.2, 4.NF.B.3.a, 4.NF.B.3.b, 4.NF.B.3.c, 4.NF.B.3.d</w:t>
            </w:r>
          </w:p>
        </w:tc>
      </w:tr>
      <w:tr>
        <w:tc>
          <w:tcPr/>
          <w:p>
            <w:pPr>
              <w:pStyle w:val="Compact"/>
              <w:jc w:val="left"/>
            </w:pPr>
            <w:r>
              <w:t xml:space="preserve">Building Towards</w:t>
            </w:r>
          </w:p>
        </w:tc>
        <w:tc>
          <w:tcPr/>
          <w:p>
            <w:pPr>
              <w:pStyle w:val="Compact"/>
              <w:jc w:val="left"/>
            </w:pPr>
            <w:r>
              <w:t xml:space="preserve">5.NF.A.1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fractions and mixed numbers with like denominators.</w:t>
      </w:r>
    </w:p>
    <w:p>
      <w:pPr>
        <w:numPr>
          <w:ilvl w:val="0"/>
          <w:numId w:val="1001"/>
        </w:numPr>
        <w:pStyle w:val="Compact"/>
      </w:pPr>
      <w:r>
        <w:t xml:space="preserve">Compare fractions and mixed numbers by reasoning about equivalence.</w:t>
      </w:r>
    </w:p>
    <w:bookmarkEnd w:id="24"/>
    <w:bookmarkStart w:id="25" w:name="student-facing-learning-goals"/>
    <w:p>
      <w:pPr>
        <w:pStyle w:val="Heading3"/>
      </w:pPr>
      <w:r>
        <w:t xml:space="preserve">Student-facing Learning Goals</w:t>
      </w:r>
    </w:p>
    <w:p>
      <w:pPr>
        <w:numPr>
          <w:ilvl w:val="0"/>
          <w:numId w:val="1002"/>
        </w:numPr>
        <w:pStyle w:val="Compact"/>
      </w:pPr>
      <w:r>
        <w:t xml:space="preserve">Practiquemos cómo resolver problemas en los que hay fracciones.</w:t>
      </w:r>
    </w:p>
    <w:bookmarkEnd w:id="25"/>
    <w:bookmarkStart w:id="26" w:name="lesson-purpose"/>
    <w:p>
      <w:pPr>
        <w:pStyle w:val="Heading3"/>
      </w:pPr>
      <w:r>
        <w:t xml:space="preserve">Lesson Purpose</w:t>
      </w:r>
    </w:p>
    <w:p>
      <w:pPr>
        <w:pStyle w:val="FirstParagraph"/>
      </w:pPr>
      <w:r>
        <w:t xml:space="preserve">The purpose of this lesson is for students to represent and solve problems involving the addition and subtraction of fractions. Students also reason about equivalence to compare fractions and make sense of problems.</w:t>
      </w:r>
    </w:p>
    <w:p>
      <w:pPr>
        <w:pStyle w:val="BodyText"/>
      </w:pPr>
      <w:r>
        <w:t xml:space="preserve">In this lesson, students apply what they know about equivalence and addition and subtraction of fractions to solve problems. Throughout the lesson, students have opportunities to reason quantitatively and abstractly as they connect their representations, including equations, to the situations (MP2) and to compare their reasoning with others' (MP3).</w:t>
      </w:r>
    </w:p>
    <w:p>
      <w:pPr>
        <w:pStyle w:val="BodyText"/>
      </w:pPr>
      <w:r>
        <w:t xml:space="preserve">The work of this lesson helps prepare students for adding and subtracting with unlike denominators in grade 5. If students need additional support with the concepts in this lesson, refer back to Unit 3,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strategies were students using to solve problems? What evidence did students show that they were reasoning about equivalence as they solved the problems?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El asta de la bandera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4.NF.B.3.c, 4.NF.B.3.d</w:t>
            </w:r>
          </w:p>
        </w:tc>
      </w:tr>
    </w:tbl>
    <w:bookmarkEnd w:id="43"/>
    <w:bookmarkStart w:id="47" w:name="student-facing-task-statement"/>
    <w:p>
      <w:pPr>
        <w:pStyle w:val="Heading3"/>
      </w:pPr>
      <w:r>
        <w:t xml:space="preserve">Student-facing Task Statement</w:t>
      </w:r>
    </w:p>
    <w:p>
      <w:pPr>
        <w:pStyle w:val="FirstParagraph"/>
      </w:pPr>
      <w:r>
        <w:t xml:space="preserve">Aproximadamente​​​ ​</w:t>
      </w:r>
      <m:oMath>
        <m:r>
          <m:t>3</m:t>
        </m:r>
        <m:f>
          <m:fPr>
            <m:type m:val="bar"/>
          </m:fPr>
          <m:num>
            <m:r>
              <m:t>2</m:t>
            </m:r>
          </m:num>
          <m:den>
            <m:r>
              <m:t>6</m:t>
            </m:r>
          </m:den>
        </m:f>
      </m:oMath>
      <w:r>
        <w:t xml:space="preserve"> pies del asta de la bandera de la escuela están enterrados en el suelo. Los estudiantes pueden ver</w:t>
      </w:r>
      <w:r>
        <w:t xml:space="preserve"> </w:t>
      </w:r>
      <m:oMath>
        <m:r>
          <m:t>12</m:t>
        </m:r>
        <m:f>
          <m:fPr>
            <m:type m:val="bar"/>
          </m:fPr>
          <m:num>
            <m:r>
              <m:t>4</m:t>
            </m:r>
          </m:num>
          <m:den>
            <m:r>
              <m:t>6</m:t>
            </m:r>
          </m:den>
        </m:f>
      </m:oMath>
      <w:r>
        <w:t xml:space="preserve"> pies del asta de la bandera.</w:t>
      </w:r>
    </w:p>
    <w:p>
      <w:pPr>
        <w:pStyle w:val="BodyText"/>
      </w:pPr>
      <w:r>
        <w:t xml:space="preserve">¿Cuánto mide el asta de la bandera en total? Muestra cómo razonaste.</w:t>
      </w:r>
    </w:p>
    <w:p>
      <w:pPr>
        <w:pStyle w:val="BodyText"/>
      </w:pPr>
      <w:r>
        <w:drawing>
          <wp:inline>
            <wp:extent cx="923574" cy="1834916"/>
            <wp:effectExtent b="0" l="0" r="0" t="0"/>
            <wp:docPr descr="" title="" id="45" name="Picture"/>
            <a:graphic>
              <a:graphicData uri="http://schemas.openxmlformats.org/drawingml/2006/picture">
                <pic:pic>
                  <pic:nvPicPr>
                    <pic:cNvPr descr="/app/tmp/embedder-1671064957.4647977.png" id="46" name="Picture"/>
                    <pic:cNvPicPr>
                      <a:picLocks noChangeArrowheads="1" noChangeAspect="1"/>
                    </pic:cNvPicPr>
                  </pic:nvPicPr>
                  <pic:blipFill>
                    <a:blip r:embed="rId44"/>
                    <a:stretch>
                      <a:fillRect/>
                    </a:stretch>
                  </pic:blipFill>
                  <pic:spPr bwMode="auto">
                    <a:xfrm>
                      <a:off x="0" y="0"/>
                      <a:ext cx="923574" cy="1834916"/>
                    </a:xfrm>
                    <a:prstGeom prst="rect">
                      <a:avLst/>
                    </a:prstGeom>
                    <a:noFill/>
                    <a:ln w="9525">
                      <a:noFill/>
                      <a:headEnd/>
                      <a:tailEnd/>
                    </a:ln>
                  </pic:spPr>
                </pic:pic>
              </a:graphicData>
            </a:graphic>
          </wp:inline>
        </w:drawing>
      </w:r>
    </w:p>
    <w:bookmarkEnd w:id="47"/>
    <w:bookmarkStart w:id="48" w:name="student-responses"/>
    <w:p>
      <w:pPr>
        <w:pStyle w:val="Heading3"/>
      </w:pPr>
      <w:r>
        <w:t xml:space="preserve">Student Responses</w:t>
      </w:r>
    </w:p>
    <w:p>
      <w:pPr>
        <w:pStyle w:val="FirstParagraph"/>
      </w:pPr>
      <w:r>
        <w:t xml:space="preserve">16 feet, because</w:t>
      </w:r>
      <w:r>
        <w:t xml:space="preserve"> </w:t>
      </w:r>
      <m:oMath>
        <m:r>
          <m:t>12</m:t>
        </m:r>
        <m:f>
          <m:fPr>
            <m:type m:val="bar"/>
          </m:fPr>
          <m:num>
            <m:r>
              <m:t>4</m:t>
            </m:r>
          </m:num>
          <m:den>
            <m:r>
              <m:t>6</m:t>
            </m:r>
          </m:den>
        </m:f>
        <m:r>
          <m:rPr>
            <m:sty m:val="p"/>
          </m:rPr>
          <m:t>+</m:t>
        </m:r>
        <m:r>
          <m:t>3</m:t>
        </m:r>
        <m:f>
          <m:fPr>
            <m:type m:val="bar"/>
          </m:fPr>
          <m:num>
            <m:r>
              <m:t>2</m:t>
            </m:r>
          </m:num>
          <m:den>
            <m:r>
              <m:t>6</m:t>
            </m:r>
          </m:den>
        </m:f>
        <m:r>
          <m:rPr>
            <m:sty m:val="p"/>
          </m:rPr>
          <m:t>=</m:t>
        </m:r>
        <m:r>
          <m:t>16</m:t>
        </m:r>
      </m:oMath>
      <w:r>
        <w:t xml:space="preserve">.</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2022-12-15T00:42:38Z</dcterms:created>
  <dcterms:modified xsi:type="dcterms:W3CDTF">2022-12-15T00:42:38Z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FYJpwVmL0WHFq+j7TQetAVMTmkQRxz6CRGrRNLqYwVoxhiyYNQMpPABPS+UcY4FpavvjwgVNY5nB4DREzpfCBw==</vt:lpwstr>
  </property>
</Properties>
</file>