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7-revuelve-y-saca"/>
    <w:p>
      <w:pPr>
        <w:pStyle w:val="Heading1"/>
      </w:pPr>
      <w:r>
        <w:t xml:space="preserve">Lesson 7: Revuelve y saca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r>
        <w:tc>
          <w:tcPr/>
          <w:p>
            <w:pPr>
              <w:pStyle w:val="Compact"/>
              <w:jc w:val="left"/>
            </w:pPr>
            <w:r>
              <w:t xml:space="preserve">Building Towards</w:t>
            </w:r>
          </w:p>
        </w:tc>
        <w:tc>
          <w:tcPr/>
          <w:p>
            <w:pPr>
              <w:pStyle w:val="Compact"/>
              <w:jc w:val="left"/>
            </w:pPr>
            <w:r>
              <w:t xml:space="preserve">1.OA.B.3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Together/Take Apart, Both Addends Unknown story problems in a way that makes sense to them.</w:t>
      </w:r>
    </w:p>
    <w:p>
      <w:pPr>
        <w:numPr>
          <w:ilvl w:val="0"/>
          <w:numId w:val="1001"/>
        </w:numPr>
        <w:pStyle w:val="Compact"/>
      </w:pPr>
      <w:r>
        <w:t xml:space="preserve">Write an equation and explain why it matches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sobre separar números y juntarlos de nuevo.</w:t>
      </w:r>
    </w:p>
    <w:bookmarkEnd w:id="25"/>
    <w:bookmarkStart w:id="26" w:name="lesson-purpose"/>
    <w:p>
      <w:pPr>
        <w:pStyle w:val="Heading3"/>
      </w:pPr>
      <w:r>
        <w:t xml:space="preserve">Lesson Purpose</w:t>
      </w:r>
    </w:p>
    <w:p>
      <w:pPr>
        <w:pStyle w:val="FirstParagraph"/>
      </w:pPr>
      <w:r>
        <w:t xml:space="preserve">The purpose of this lesson is for students to make sense of, represent, and solve Put Together/Take Apart, Both Addends Unknown story problems. Students write equations and explain how they relate to the story problems.</w:t>
      </w:r>
    </w:p>
    <w:p>
      <w:pPr>
        <w:pStyle w:val="BodyText"/>
      </w:pPr>
      <w:r>
        <w:t xml:space="preserve">This work builds on work from kindergarten when students composed and decomposed numbers in more than one way and represented these decompositions with their fingers, connecting cubes, two-color counters, drawings, and expressions. Students revisit Put Together/Take Apart, Both Addends Unknown problems through a game in which they decompose a total into two addends. Students record the decomposition with an equation. In Activity 2, students solve and represent story problems based on the context of the game, and explore the different places the total can be represented in an equation, which deepens understanding of the meaning of the equal sign.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 MLR2 Collect and Display (Activity 1)</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Cups: Activity 1</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Shake and Spill Stage 3 Recording Sheet Grade 1,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evidence have students given that they understand the meaning of the equal sign? Why is it important for students to understand the meaning of the equal sign before solving Addend Unknown problems in the upcoming lessons?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Priya juega “Revuelve y saca”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5"/>
    <w:bookmarkStart w:id="49" w:name="student-facing-task-statement"/>
    <w:p>
      <w:pPr>
        <w:pStyle w:val="Heading3"/>
      </w:pPr>
      <w:r>
        <w:t xml:space="preserve">Student-facing Task Statement</w:t>
      </w:r>
    </w:p>
    <w:p>
      <w:pPr>
        <w:pStyle w:val="FirstParagraph"/>
      </w:pPr>
      <w:r>
        <w:t xml:space="preserve">Priya jugó “Revuelve y saca”. Usó 7 fichas de dos colores.</w:t>
      </w:r>
      <w:r>
        <w:br/>
      </w:r>
      <w:r>
        <w:t xml:space="preserve">Así se ven sus fichas.</w:t>
      </w:r>
    </w:p>
    <w:p>
      <w:pPr>
        <w:pStyle w:val="BodyText"/>
      </w:pPr>
      <w:r>
        <w:drawing>
          <wp:inline>
            <wp:extent cx="4457700" cy="548645"/>
            <wp:effectExtent b="0" l="0" r="0" t="0"/>
            <wp:docPr descr="Two-color counters, 7 total. 3 red. 4 yellow." title="" id="47" name="Picture"/>
            <a:graphic>
              <a:graphicData uri="http://schemas.openxmlformats.org/drawingml/2006/picture">
                <pic:pic>
                  <pic:nvPicPr>
                    <pic:cNvPr descr="/app/tmp/embedder-1671058659.9564779.png" id="48" name="Picture"/>
                    <pic:cNvPicPr>
                      <a:picLocks noChangeArrowheads="1" noChangeAspect="1"/>
                    </pic:cNvPicPr>
                  </pic:nvPicPr>
                  <pic:blipFill>
                    <a:blip r:embed="rId46"/>
                    <a:stretch>
                      <a:fillRect/>
                    </a:stretch>
                  </pic:blipFill>
                  <pic:spPr bwMode="auto">
                    <a:xfrm>
                      <a:off x="0" y="0"/>
                      <a:ext cx="4457700" cy="548645"/>
                    </a:xfrm>
                    <a:prstGeom prst="rect">
                      <a:avLst/>
                    </a:prstGeom>
                    <a:noFill/>
                    <a:ln w="9525">
                      <a:noFill/>
                      <a:headEnd/>
                      <a:tailEnd/>
                    </a:ln>
                  </pic:spPr>
                </pic:pic>
              </a:graphicData>
            </a:graphic>
          </wp:inline>
        </w:drawing>
      </w:r>
    </w:p>
    <w:p>
      <w:pPr>
        <w:pStyle w:val="BodyText"/>
      </w:pPr>
      <w:r>
        <w:t xml:space="preserve">Escribe una ecuación que corresponda a las fichas.</w:t>
      </w:r>
    </w:p>
    <w:p>
      <w:pPr>
        <w:pStyle w:val="BodyText"/>
      </w:pPr>
      <w:r>
        <w:t xml:space="preserve">Ecuación: ________________________________</w:t>
      </w:r>
    </w:p>
    <w:p>
      <w:pPr>
        <w:pStyle w:val="BodyText"/>
      </w:pPr>
      <w:r>
        <w:t xml:space="preserve">Explica cómo tu ecuación corresponde a las fichas de Priya.</w:t>
      </w:r>
    </w:p>
    <w:bookmarkEnd w:id="49"/>
    <w:bookmarkStart w:id="50" w:name="student-responses"/>
    <w:p>
      <w:pPr>
        <w:pStyle w:val="Heading3"/>
      </w:pPr>
      <w:r>
        <w:t xml:space="preserve">Student Responses</w:t>
      </w:r>
    </w:p>
    <w:p>
      <w:pPr>
        <w:pStyle w:val="FirstParagraph"/>
      </w:pPr>
      <m:oMath>
        <m:borderBox>
          <m:e>
            <m:r>
              <m:t>3</m:t>
            </m:r>
          </m:e>
        </m:borderBox>
        <m:r>
          <m:rPr>
            <m:sty m:val="p"/>
          </m:rPr>
          <m:t>+</m:t>
        </m:r>
        <m:borderBox>
          <m:e>
            <m:r>
              <m:t>4</m:t>
            </m:r>
          </m:e>
        </m:borderBox>
        <m:r>
          <m:rPr>
            <m:sty m:val="p"/>
          </m:rPr>
          <m:t>=</m:t>
        </m:r>
        <m:r>
          <m:t>7</m:t>
        </m:r>
      </m:oMath>
      <w:r>
        <w:t xml:space="preserve">,</w:t>
      </w:r>
      <w:r>
        <w:t xml:space="preserve"> </w:t>
      </w:r>
      <m:oMath>
        <m:borderBox>
          <m:e>
            <m:r>
              <m:t>4</m:t>
            </m:r>
          </m:e>
        </m:borderBox>
        <m:r>
          <m:rPr>
            <m:sty m:val="p"/>
          </m:rPr>
          <m:t>+</m:t>
        </m:r>
        <m:borderBox>
          <m:e>
            <m:r>
              <m:t>3</m:t>
            </m:r>
          </m:e>
        </m:borderBox>
        <m:r>
          <m:rPr>
            <m:sty m:val="p"/>
          </m:rPr>
          <m:t>=</m:t>
        </m:r>
        <m:r>
          <m:t>7</m:t>
        </m:r>
      </m:oMath>
      <w:r>
        <w:t xml:space="preserve">,</w:t>
      </w:r>
      <w:r>
        <w:t xml:space="preserve"> </w:t>
      </w:r>
      <m:oMath>
        <m:r>
          <m:t>7</m:t>
        </m:r>
        <m:r>
          <m:rPr>
            <m:sty m:val="p"/>
          </m:rPr>
          <m:t>=</m:t>
        </m:r>
        <m:borderBox>
          <m:e>
            <m:r>
              <m:t>3</m:t>
            </m:r>
          </m:e>
        </m:borderBox>
        <m:r>
          <m:rPr>
            <m:sty m:val="p"/>
          </m:rPr>
          <m:t>+</m:t>
        </m:r>
        <m:borderBox>
          <m:e>
            <m:r>
              <m:t>4</m:t>
            </m:r>
          </m:e>
        </m:borderBox>
      </m:oMath>
      <w:r>
        <w:t xml:space="preserve">, or</w:t>
      </w:r>
      <w:r>
        <w:t xml:space="preserve"> </w:t>
      </w:r>
      <m:oMath>
        <m:r>
          <m:t>7</m:t>
        </m:r>
        <m:r>
          <m:rPr>
            <m:sty m:val="p"/>
          </m:rPr>
          <m:t>=</m:t>
        </m:r>
        <m:borderBox>
          <m:e>
            <m:r>
              <m:t>4</m:t>
            </m:r>
          </m:e>
        </m:borderBox>
        <m:r>
          <m:rPr>
            <m:sty m:val="p"/>
          </m:rPr>
          <m:t>+</m:t>
        </m:r>
        <m:borderBox>
          <m:e>
            <m:r>
              <m:t>3</m:t>
            </m:r>
          </m:e>
        </m:borderBox>
      </m:oMath>
      <w:r>
        <w:t xml:space="preserve">. Sample response: There are 3 red and 4 yellow. Altogether that is 7 counters.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2022-12-14T22:57:40Z</dcterms:created>
  <dcterms:modified xsi:type="dcterms:W3CDTF">2022-12-14T22:57:40Z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wz7rzaXKp4wRJ8w/awyi1+miQQyIM13BXUTF7IAbX9PnOq6UyUJf0dTDbyE6aI6/0Eo4ipy5ANrYziCc9BRcjg==</vt:lpwstr>
  </property>
</Properties>
</file>