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2aa7e60961bc5c2e10b21be5f4b812c70825a"/>
    <w:p>
      <w:pPr>
        <w:pStyle w:val="Heading2"/>
      </w:pPr>
      <w:r>
        <w:t xml:space="preserve">Lección 11: Usemos factores para encontrar fracciones equivalentes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numeradores y denominadores para encontrar fracciones equivalentes.</w:t>
      </w:r>
    </w:p>
    <w:bookmarkStart w:id="30" w:name="X1afd532846eef379bfda45cb58160d727331945"/>
    <w:p>
      <w:pPr>
        <w:pStyle w:val="Heading3"/>
      </w:pPr>
      <w:r>
        <w:t xml:space="preserve">Calentamiento: Cuál es diferente: Cuatro representaciones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971800" cy="411491"/>
            <wp:effectExtent b="0" l="0" r="0" t="0"/>
            <wp:docPr descr="Diagram. 8 equal parts. First 2 shaded and labeled 1 eighth. " title="" id="22" name="Picture"/>
            <a:graphic>
              <a:graphicData uri="http://schemas.openxmlformats.org/drawingml/2006/picture">
                <pic:pic>
                  <pic:nvPicPr>
                    <pic:cNvPr descr="/app/tmp/embedder-1671063262.74648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2938741" cy="286230"/>
            <wp:effectExtent b="0" l="0" r="0" t="0"/>
            <wp:docPr descr="Number line. From 0 to 1. 5 evenly spaced tick marks. 0, blank, point at unlabeled mark, blank, 1." title="" id="25" name="Picture"/>
            <a:graphic>
              <a:graphicData uri="http://schemas.openxmlformats.org/drawingml/2006/picture">
                <pic:pic>
                  <pic:nvPicPr>
                    <pic:cNvPr descr="/app/tmp/embedder-1671063262.82985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41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drawing>
          <wp:inline>
            <wp:extent cx="2938741" cy="285389"/>
            <wp:effectExtent b="0" l="0" r="0" t="0"/>
            <wp:docPr descr="Number line. From 0 to 2. 9 evenly spaced tick marks. Unlabeled point on the second tick mark." title="" id="28" name="Picture"/>
            <a:graphic>
              <a:graphicData uri="http://schemas.openxmlformats.org/drawingml/2006/picture">
                <pic:pic>
                  <pic:nvPicPr>
                    <pic:cNvPr descr="/app/tmp/embedder-1671063262.90294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41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0" w:name="al-contrario"/>
    <w:p>
      <w:pPr>
        <w:pStyle w:val="Heading3"/>
      </w:pPr>
      <w:r>
        <w:t xml:space="preserve">11.1: Al contrario</w:t>
      </w:r>
    </w:p>
    <w:p>
      <w:pPr>
        <w:numPr>
          <w:ilvl w:val="0"/>
          <w:numId w:val="1003"/>
        </w:numPr>
        <w:pStyle w:val="Compact"/>
      </w:pPr>
      <w:r>
        <w:t xml:space="preserve">Andre dibujó una recta numérica y marcó un punto en ella. Escribe debajo del punto la fracción que corresponde.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From 0 to 1. 13 evenly spaced tick marks. First tick mark, 0. Point at ninth tick mark, unlabeled. Last tick mark, 1." title="" id="32" name="Picture"/>
            <a:graphic>
              <a:graphicData uri="http://schemas.openxmlformats.org/drawingml/2006/picture">
                <pic:pic>
                  <pic:nvPicPr>
                    <pic:cNvPr descr="/app/tmp/embedder-1671063262.96452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Para encontrar otras fracciones que corresponden al punto, Andre hizo otras rectas numéricas. Dibujó marcas más oscuras en algunas de las marcas que ya había. </w:t>
      </w:r>
    </w:p>
    <w:p>
      <w:pPr>
        <w:numPr>
          <w:ilvl w:val="0"/>
          <w:numId w:val="1000"/>
        </w:numPr>
      </w:pPr>
      <w:r>
        <w:t xml:space="preserve">En cada recta numérica, escribe el número que corresponde debajo de las marcas más oscuras que hizo Andre.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, by twelfths. Point plotted at eighth tick mark. " title="" id="35" name="Picture"/>
            <a:graphic>
              <a:graphicData uri="http://schemas.openxmlformats.org/drawingml/2006/picture">
                <pic:pic>
                  <pic:nvPicPr>
                    <pic:cNvPr descr="/app/tmp/embedder-1671063263.022282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984449" cy="284740"/>
            <wp:effectExtent b="0" l="0" r="0" t="0"/>
            <wp:docPr descr="number line. 13 evenly spaced tick marks. First tick mark, 0. Point on ninth tick mark, unlabeled. Last tick mark, 1." title="" id="38" name="Picture"/>
            <a:graphic>
              <a:graphicData uri="http://schemas.openxmlformats.org/drawingml/2006/picture">
                <pic:pic>
                  <pic:nvPicPr>
                    <pic:cNvPr descr="/app/tmp/embedder-1671063263.085888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Kiran escribió las mismas fracciones para los puntos, pero usó una estrategia diferente, como se muestra a continuación. Analiza su razonamiento.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w:r>
        <w:t xml:space="preserve">¿Cómo crees que se relacionan las estrategias de Andre y Kiran?</w:t>
      </w:r>
    </w:p>
    <w:p>
      <w:pPr>
        <w:numPr>
          <w:ilvl w:val="0"/>
          <w:numId w:val="1003"/>
        </w:numPr>
      </w:pPr>
      <w:r>
        <w:t xml:space="preserve">Intenta usar la estrategia de Kiran para encontrar una o más fracciones que sean equivalentes a </w:t>
      </w: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  <w:r>
        <w:t xml:space="preserve">.</w:t>
      </w:r>
    </w:p>
    <w:bookmarkEnd w:id="40"/>
    <w:bookmarkStart w:id="41" w:name="cómo-las-encontrarías"/>
    <w:p>
      <w:pPr>
        <w:pStyle w:val="Heading3"/>
      </w:pPr>
      <w:r>
        <w:t xml:space="preserve">11.2: ¿Cómo las encontrarías?</w:t>
      </w:r>
    </w:p>
    <w:p>
      <w:pPr>
        <w:pStyle w:val="FirstParagraph"/>
      </w:pPr>
      <w:r>
        <w:t xml:space="preserve">Encuentra al menos dos fracciones que sean equivalentes a cada fracción. Muestra tu razonamiento.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40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90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bookmarkEnd w:id="41"/>
    <w:bookmarkStart w:id="42" w:name="X66ac9673f3ef24612addc7983e6db50d18962fd"/>
    <w:p>
      <w:pPr>
        <w:pStyle w:val="Heading3"/>
      </w:pPr>
      <w:r>
        <w:t xml:space="preserve">11.3: Clasificación de tarjetas: Fracciones por montones</w:t>
      </w:r>
    </w:p>
    <w:p>
      <w:pPr>
        <w:pStyle w:val="FirstParagraph"/>
      </w:pPr>
      <w:r>
        <w:t xml:space="preserve">Tu profesor te dará un grupo de tarjetas. Encuentra todos los grupos de fracciones equivalentes que puedas. Prepárate para explicar o mostrar tu razonamiento. </w:t>
      </w:r>
    </w:p>
    <w:p>
      <w:pPr>
        <w:pStyle w:val="BodyText"/>
      </w:pPr>
      <w:r>
        <w:t xml:space="preserve">Anota aquí los grupos de fracciones equivalentes.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Anota aquí las fracciones que no tienen una fracción equivalente.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2"/>
    <w:bookmarkStart w:id="5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sección, aprendimos a identificar y escribir fracciones equivalentes. Ubicamos fracciones en rectas numéricas y vimos que dos fracciones que ocupan el mismo lugar en una recta numérica son equivalentes. </w:t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. Scale 0 to 1. 13 evenly spaced tick marks. First tick mark, 0. Fifth tick mark, 1 third. Point at ninth tick mark, 2 thirds. " title="" id="44" name="Picture"/>
            <a:graphic>
              <a:graphicData uri="http://schemas.openxmlformats.org/drawingml/2006/picture">
                <pic:pic>
                  <pic:nvPicPr>
                    <pic:cNvPr descr="/app/tmp/embedder-1671063263.168605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. Scale 0 to 1, by sixths. Point at 4 sixths." title="" id="47" name="Picture"/>
            <a:graphic>
              <a:graphicData uri="http://schemas.openxmlformats.org/drawingml/2006/picture">
                <pic:pic>
                  <pic:nvPicPr>
                    <pic:cNvPr descr="/app/tmp/embedder-1671063263.24329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vimos estrategias para encontrar fracciones equivalentes y aprendimos que al multiplicar el numerador y el denominador por el mismo número o al dividirlos entre el mismo número se obtiene una fracción equivalente. Estos son algunos ejemplos: 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es equivalente 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 y 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</m:oMath>
      <w:r>
        <w:t xml:space="preserve">.</w:t>
      </w:r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num>
          <m:den>
            <m:r>
              <m:t>12</m:t>
            </m:r>
            <m:r>
              <m:t> </m:t>
            </m:r>
            <m:r>
              <m:rPr>
                <m:sty m:val="p"/>
              </m:rPr>
              <m:t>÷</m:t>
            </m:r>
            <m:r>
              <m:t> </m:t>
            </m:r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  <w:r>
        <w:t xml:space="preserve"> es equivalente 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 y 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2022-12-15T00:14:24Z</dcterms:created>
  <dcterms:modified xsi:type="dcterms:W3CDTF">2022-12-15T00:14:24Z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NEYFti5UhfVnzCB1Z3jlGrBye/0qYsX3QMoEMdKOdwQQQkDvQtx9qKIog2s2HMlyiZoCez7omOzFQOFBpoF0WQ==</vt:lpwstr>
  </property>
</Properties>
</file>