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48.png" ContentType="image/png"/>
  <Override PartName="/word/media/rId52.png" ContentType="image/png"/>
  <Override PartName="/word/media/rId55.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9" w:name="Xe9e0387c32dbf8a0456f1b94ee704ea708e610d"/>
    <w:p>
      <w:pPr>
        <w:pStyle w:val="Heading1"/>
      </w:pPr>
      <w:r>
        <w:t xml:space="preserve">Lesson 2: Representaciones de fracciones (parte 2)</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3.NF.A.1</w:t>
            </w:r>
          </w:p>
        </w:tc>
      </w:tr>
      <w:tr>
        <w:tc>
          <w:tcPr/>
          <w:p>
            <w:pPr>
              <w:pStyle w:val="Compact"/>
              <w:jc w:val="left"/>
            </w:pPr>
            <w:r>
              <w:t xml:space="preserve">Building Towards</w:t>
            </w:r>
          </w:p>
        </w:tc>
        <w:tc>
          <w:tcPr/>
          <w:p>
            <w:pPr>
              <w:pStyle w:val="Compact"/>
              <w:jc w:val="left"/>
            </w:pPr>
            <w:r>
              <w:t xml:space="preserve">4.NF.A, 4.NF.A.1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Make sense of the numerator and denominator of unit fractions that have denominators 2, 3, 4, 5, 6, 8, 10, and 12.</w:t>
      </w:r>
    </w:p>
    <w:p>
      <w:pPr>
        <w:numPr>
          <w:ilvl w:val="0"/>
          <w:numId w:val="1001"/>
        </w:numPr>
        <w:pStyle w:val="Compact"/>
      </w:pPr>
      <w:r>
        <w:t xml:space="preserve">Use diagrams to represent fractions.</w:t>
      </w:r>
    </w:p>
    <w:bookmarkEnd w:id="24"/>
    <w:bookmarkStart w:id="25" w:name="student-facing-learning-goals"/>
    <w:p>
      <w:pPr>
        <w:pStyle w:val="Heading3"/>
      </w:pPr>
      <w:r>
        <w:t xml:space="preserve">Student-facing Learning Goals</w:t>
      </w:r>
    </w:p>
    <w:p>
      <w:pPr>
        <w:numPr>
          <w:ilvl w:val="0"/>
          <w:numId w:val="1002"/>
        </w:numPr>
        <w:pStyle w:val="Compact"/>
      </w:pPr>
      <w:r>
        <w:t xml:space="preserve">Nombremos otras fracciones y representémoslas con diagramas.</w:t>
      </w:r>
    </w:p>
    <w:bookmarkEnd w:id="25"/>
    <w:bookmarkStart w:id="26" w:name="lesson-purpose"/>
    <w:p>
      <w:pPr>
        <w:pStyle w:val="Heading3"/>
      </w:pPr>
      <w:r>
        <w:t xml:space="preserve">Lesson Purpose</w:t>
      </w:r>
    </w:p>
    <w:p>
      <w:pPr>
        <w:pStyle w:val="FirstParagraph"/>
      </w:pPr>
      <w:r>
        <w:t xml:space="preserve">The purpose of this lesson is for students to make sense of non-unit fractions (including those greater than 1) that have denominators 2, 3, 4, 5, 6, 8, 10, and 12.</w:t>
      </w:r>
    </w:p>
    <w:p>
      <w:pPr>
        <w:pStyle w:val="BodyText"/>
      </w:pPr>
      <w:r>
        <w:t xml:space="preserve">In the previous lesson, students made sense of the meaning of numerator and denominator in unit fractions. They identified fractions represented by diagrams, and partitioned diagrams to represent given fractions. In this lesson, they reason in similar ways—using numerical and visual representations—about non-unit fractions and fractions that are greater than 1.</w:t>
      </w:r>
    </w:p>
    <w:p>
      <w:pPr>
        <w:pStyle w:val="BodyText"/>
      </w:pPr>
      <w:r>
        <w:t xml:space="preserve">Students are reminded of what they learned in grade 3: that a non-unit fraction</w:t>
      </w:r>
      <w:r>
        <w:t xml:space="preserve"> </w:t>
      </w:r>
      <m:oMath>
        <m:f>
          <m:fPr>
            <m:type m:val="bar"/>
          </m:fPr>
          <m:num>
            <m:r>
              <m:t>a</m:t>
            </m:r>
          </m:num>
          <m:den>
            <m:r>
              <m:t>b</m:t>
            </m:r>
          </m:den>
        </m:f>
      </m:oMath>
      <w:r>
        <w:t xml:space="preserve"> </w:t>
      </w:r>
      <w:r>
        <w:t xml:space="preserve">can be understood as</w:t>
      </w:r>
      <w:r>
        <w:t xml:space="preserve"> </w:t>
      </w:r>
      <m:oMath>
        <m:r>
          <m:t>a</m:t>
        </m:r>
      </m:oMath>
      <w:r>
        <w:t xml:space="preserve"> </w:t>
      </w:r>
      <w:r>
        <w:t xml:space="preserve">parts of a unit fraction</w:t>
      </w:r>
      <w:r>
        <w:t xml:space="preserve"> </w:t>
      </w:r>
      <m:oMath>
        <m:f>
          <m:fPr>
            <m:type m:val="bar"/>
          </m:fPr>
          <m:num>
            <m:r>
              <m:t>1</m:t>
            </m:r>
          </m:num>
          <m:den>
            <m:r>
              <m:t>b</m:t>
            </m:r>
          </m:den>
        </m:f>
      </m:oMath>
      <w:r>
        <w:t xml:space="preserve">, and that fractions with different numerators and denominators can be equivalent. Unlike in grade 3, the denominators they see here now include 5, 10, and 12.</w:t>
      </w:r>
    </w:p>
    <w:p>
      <w:pPr>
        <w:pStyle w:val="BodyText"/>
      </w:pPr>
      <w:r>
        <w:t xml:space="preserve">As in the previous lesson, rulers can be provided to help students draw, extend, or align partition lines, but should not be used to measure the location of a fraction on any diagram.</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2)</w:t>
      </w:r>
    </w:p>
    <w:bookmarkEnd w:id="35"/>
    <w:bookmarkStart w:id="36" w:name="instructional-routines"/>
    <w:p>
      <w:pPr>
        <w:pStyle w:val="Heading3"/>
      </w:pPr>
      <w:r>
        <w:t xml:space="preserve">Instructional Routines</w:t>
      </w:r>
    </w:p>
    <w:p>
      <w:pPr>
        <w:pStyle w:val="FirstParagraph"/>
      </w:pPr>
      <w:r>
        <w:t xml:space="preserve">Which One Doesn’t Belong? (Warm-up)</w:t>
      </w:r>
    </w:p>
    <w:bookmarkEnd w:id="36"/>
    <w:bookmarkStart w:id="37" w:name="materials-to-gather"/>
    <w:p>
      <w:pPr>
        <w:pStyle w:val="Heading3"/>
      </w:pPr>
      <w:r>
        <w:t xml:space="preserve">Materials to Gather</w:t>
      </w:r>
    </w:p>
    <w:p>
      <w:pPr>
        <w:numPr>
          <w:ilvl w:val="0"/>
          <w:numId w:val="1005"/>
        </w:numPr>
        <w:pStyle w:val="Compact"/>
      </w:pPr>
      <w:r>
        <w:t xml:space="preserve">Materials from a previous lesson: Activity 2</w:t>
      </w:r>
    </w:p>
    <w:p>
      <w:pPr>
        <w:numPr>
          <w:ilvl w:val="0"/>
          <w:numId w:val="1005"/>
        </w:numPr>
        <w:pStyle w:val="Compact"/>
      </w:pPr>
      <w:r>
        <w:t xml:space="preserve">Straightedges: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Who participated in math class today? What assumptions are you making about those who did not participate? How can you leverage each of your students’ ideas to support them in being seen and heard in tomorrow’s math class?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¿Qué muestran los diagramas?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Towards</w:t>
            </w:r>
          </w:p>
        </w:tc>
        <w:tc>
          <w:tcPr/>
          <w:p>
            <w:pPr>
              <w:pStyle w:val="Compact"/>
              <w:jc w:val="left"/>
            </w:pPr>
            <w:r>
              <w:t xml:space="preserve">4.NF.A</w:t>
            </w:r>
          </w:p>
        </w:tc>
      </w:tr>
    </w:tbl>
    <w:bookmarkEnd w:id="44"/>
    <w:bookmarkStart w:id="51" w:name="student-facing-task-statement"/>
    <w:p>
      <w:pPr>
        <w:pStyle w:val="Heading3"/>
      </w:pPr>
      <w:r>
        <w:t xml:space="preserve">Student-facing Task Statement</w:t>
      </w:r>
    </w:p>
    <w:p>
      <w:pPr>
        <w:pStyle w:val="FirstParagraph"/>
      </w:pPr>
      <w:r>
        <w:t xml:space="preserve">Usa un diagrama en blanco para hacer una representación de cada fracción. Ambos diagramas en blanco representan la misma cantidad.</w:t>
      </w:r>
    </w:p>
    <w:p>
      <w:pPr>
        <w:numPr>
          <w:ilvl w:val="0"/>
          <w:numId w:val="1006"/>
        </w:numPr>
      </w:pPr>
      <m:oMath>
        <m:f>
          <m:fPr>
            <m:type m:val="bar"/>
          </m:fPr>
          <m:num>
            <m:r>
              <m:t>5</m:t>
            </m:r>
          </m:num>
          <m:den>
            <m:r>
              <m:t>8</m:t>
            </m:r>
          </m:den>
        </m:f>
      </m:oMath>
    </w:p>
    <w:p>
      <w:pPr>
        <w:numPr>
          <w:ilvl w:val="0"/>
          <w:numId w:val="1000"/>
        </w:numPr>
        <w:pStyle w:val="Compact"/>
      </w:pPr>
      <w:r>
        <w:drawing>
          <wp:inline>
            <wp:extent cx="5943600" cy="640091"/>
            <wp:effectExtent b="0" l="0" r="0" t="0"/>
            <wp:docPr descr="" title="" id="46" name="Picture"/>
            <a:graphic>
              <a:graphicData uri="http://schemas.openxmlformats.org/drawingml/2006/picture">
                <pic:pic>
                  <pic:nvPicPr>
                    <pic:cNvPr descr="/app/tmp/embedder-1671063416.78619.png" id="47" name="Picture"/>
                    <pic:cNvPicPr>
                      <a:picLocks noChangeArrowheads="1" noChangeAspect="1"/>
                    </pic:cNvPicPr>
                  </pic:nvPicPr>
                  <pic:blipFill>
                    <a:blip r:embed="rId45"/>
                    <a:stretch>
                      <a:fillRect/>
                    </a:stretch>
                  </pic:blipFill>
                  <pic:spPr bwMode="auto">
                    <a:xfrm>
                      <a:off x="0" y="0"/>
                      <a:ext cx="5943600" cy="640091"/>
                    </a:xfrm>
                    <a:prstGeom prst="rect">
                      <a:avLst/>
                    </a:prstGeom>
                    <a:noFill/>
                    <a:ln w="9525">
                      <a:noFill/>
                      <a:headEnd/>
                      <a:tailEnd/>
                    </a:ln>
                  </pic:spPr>
                </pic:pic>
              </a:graphicData>
            </a:graphic>
          </wp:inline>
        </w:drawing>
      </w:r>
    </w:p>
    <w:p>
      <w:pPr>
        <w:numPr>
          <w:ilvl w:val="0"/>
          <w:numId w:val="1006"/>
        </w:numPr>
        <w:pStyle w:val="Compact"/>
      </w:pPr>
      <m:oMath>
        <m:f>
          <m:fPr>
            <m:type m:val="bar"/>
          </m:fPr>
          <m:num>
            <m:r>
              <m:t>9</m:t>
            </m:r>
          </m:num>
          <m:den>
            <m:r>
              <m:t>8</m:t>
            </m:r>
          </m:den>
        </m:f>
      </m:oMath>
    </w:p>
    <w:p>
      <w:pPr>
        <w:numPr>
          <w:ilvl w:val="0"/>
          <w:numId w:val="1000"/>
        </w:numPr>
        <w:pStyle w:val="Compact"/>
      </w:pPr>
      <w:r>
        <w:drawing>
          <wp:inline>
            <wp:extent cx="5943600" cy="411491"/>
            <wp:effectExtent b="0" l="0" r="0" t="0"/>
            <wp:docPr descr="diagram. 2 equal parts" title="" id="49" name="Picture"/>
            <a:graphic>
              <a:graphicData uri="http://schemas.openxmlformats.org/drawingml/2006/picture">
                <pic:pic>
                  <pic:nvPicPr>
                    <pic:cNvPr descr="/app/tmp/embedder-1671063416.8640814.png" id="50" name="Picture"/>
                    <pic:cNvPicPr>
                      <a:picLocks noChangeArrowheads="1" noChangeAspect="1"/>
                    </pic:cNvPicPr>
                  </pic:nvPicPr>
                  <pic:blipFill>
                    <a:blip r:embed="rId48"/>
                    <a:stretch>
                      <a:fillRect/>
                    </a:stretch>
                  </pic:blipFill>
                  <pic:spPr bwMode="auto">
                    <a:xfrm>
                      <a:off x="0" y="0"/>
                      <a:ext cx="5943600" cy="411491"/>
                    </a:xfrm>
                    <a:prstGeom prst="rect">
                      <a:avLst/>
                    </a:prstGeom>
                    <a:noFill/>
                    <a:ln w="9525">
                      <a:noFill/>
                      <a:headEnd/>
                      <a:tailEnd/>
                    </a:ln>
                  </pic:spPr>
                </pic:pic>
              </a:graphicData>
            </a:graphic>
          </wp:inline>
        </w:drawing>
      </w:r>
    </w:p>
    <w:bookmarkEnd w:id="51"/>
    <w:bookmarkStart w:id="58" w:name="student-responses"/>
    <w:p>
      <w:pPr>
        <w:pStyle w:val="Heading3"/>
      </w:pPr>
      <w:r>
        <w:t xml:space="preserve">Student Responses</w:t>
      </w:r>
    </w:p>
    <w:p>
      <w:pPr>
        <w:pStyle w:val="FirstParagraph"/>
      </w:pPr>
      <w:r>
        <w:t xml:space="preserve">Sample response:</w:t>
      </w:r>
    </w:p>
    <w:p>
      <w:pPr>
        <w:numPr>
          <w:ilvl w:val="0"/>
          <w:numId w:val="1007"/>
        </w:numPr>
      </w:pPr>
      <m:oMath>
        <m:f>
          <m:fPr>
            <m:type m:val="bar"/>
          </m:fPr>
          <m:num>
            <m:r>
              <m:t>5</m:t>
            </m:r>
          </m:num>
          <m:den>
            <m:r>
              <m:t>8</m:t>
            </m:r>
          </m:den>
        </m:f>
      </m:oMath>
    </w:p>
    <w:p>
      <w:pPr>
        <w:numPr>
          <w:ilvl w:val="0"/>
          <w:numId w:val="1000"/>
        </w:numPr>
        <w:pStyle w:val="Compact"/>
      </w:pPr>
      <w:r>
        <w:drawing>
          <wp:inline>
            <wp:extent cx="5943600" cy="411491"/>
            <wp:effectExtent b="0" l="0" r="0" t="0"/>
            <wp:docPr descr="Diagram. Rectangle partitioned in half. Each half is partitioned into 8 equal parts. First half, 8 parts shaded. Second half, 1 part shaded." title="" id="53" name="Picture"/>
            <a:graphic>
              <a:graphicData uri="http://schemas.openxmlformats.org/drawingml/2006/picture">
                <pic:pic>
                  <pic:nvPicPr>
                    <pic:cNvPr descr="/app/tmp/embedder-1671063416.9097319.png" id="54" name="Picture"/>
                    <pic:cNvPicPr>
                      <a:picLocks noChangeArrowheads="1" noChangeAspect="1"/>
                    </pic:cNvPicPr>
                  </pic:nvPicPr>
                  <pic:blipFill>
                    <a:blip r:embed="rId52"/>
                    <a:stretch>
                      <a:fillRect/>
                    </a:stretch>
                  </pic:blipFill>
                  <pic:spPr bwMode="auto">
                    <a:xfrm>
                      <a:off x="0" y="0"/>
                      <a:ext cx="5943600" cy="411491"/>
                    </a:xfrm>
                    <a:prstGeom prst="rect">
                      <a:avLst/>
                    </a:prstGeom>
                    <a:noFill/>
                    <a:ln w="9525">
                      <a:noFill/>
                      <a:headEnd/>
                      <a:tailEnd/>
                    </a:ln>
                  </pic:spPr>
                </pic:pic>
              </a:graphicData>
            </a:graphic>
          </wp:inline>
        </w:drawing>
      </w:r>
    </w:p>
    <w:p>
      <w:pPr>
        <w:numPr>
          <w:ilvl w:val="0"/>
          <w:numId w:val="1007"/>
        </w:numPr>
      </w:pPr>
      <m:oMath>
        <m:f>
          <m:fPr>
            <m:type m:val="bar"/>
          </m:fPr>
          <m:num>
            <m:r>
              <m:t>9</m:t>
            </m:r>
          </m:num>
          <m:den>
            <m:r>
              <m:t>8</m:t>
            </m:r>
          </m:den>
        </m:f>
      </m:oMath>
    </w:p>
    <w:p>
      <w:pPr>
        <w:numPr>
          <w:ilvl w:val="0"/>
          <w:numId w:val="1000"/>
        </w:numPr>
        <w:pStyle w:val="Compact"/>
      </w:pPr>
      <w:r>
        <w:drawing>
          <wp:inline>
            <wp:extent cx="5943600" cy="411491"/>
            <wp:effectExtent b="0" l="0" r="0" t="0"/>
            <wp:docPr descr="Diagram." title="" id="56" name="Picture"/>
            <a:graphic>
              <a:graphicData uri="http://schemas.openxmlformats.org/drawingml/2006/picture">
                <pic:pic>
                  <pic:nvPicPr>
                    <pic:cNvPr descr="/app/tmp/embedder-1671063416.978171.png" id="57" name="Picture"/>
                    <pic:cNvPicPr>
                      <a:picLocks noChangeArrowheads="1" noChangeAspect="1"/>
                    </pic:cNvPicPr>
                  </pic:nvPicPr>
                  <pic:blipFill>
                    <a:blip r:embed="rId55"/>
                    <a:stretch>
                      <a:fillRect/>
                    </a:stretch>
                  </pic:blipFill>
                  <pic:spPr bwMode="auto">
                    <a:xfrm>
                      <a:off x="0" y="0"/>
                      <a:ext cx="5943600" cy="411491"/>
                    </a:xfrm>
                    <a:prstGeom prst="rect">
                      <a:avLst/>
                    </a:prstGeom>
                    <a:noFill/>
                    <a:ln w="9525">
                      <a:noFill/>
                      <a:headEnd/>
                      <a:tailEnd/>
                    </a:ln>
                  </pic:spPr>
                </pic:pic>
              </a:graphicData>
            </a:graphic>
          </wp:inline>
        </w:drawing>
      </w:r>
    </w:p>
    <w:bookmarkEnd w:id="58"/>
    <w:bookmarkEnd w:id="5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48" Target="media/rId48.png" /><Relationship Type="http://schemas.openxmlformats.org/officeDocument/2006/relationships/image" Id="rId52" Target="media/rId52.png" /><Relationship Type="http://schemas.openxmlformats.org/officeDocument/2006/relationships/image" Id="rId55" Target="media/rId55.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2022-12-15T00:16:57Z</dcterms:created>
  <dcterms:modified xsi:type="dcterms:W3CDTF">2022-12-15T00:16:57Z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Z8jhpePz6uB+Na1D+QYKEOPcAQrslco6O/zokrxk7OFDzKT8j3sSvbvRDl2oYiZ42jR4jPgflyG+dg3iyGvvvA==</vt:lpwstr>
  </property>
</Properties>
</file>