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notice-and-wonder"/>
    <w:p>
      <w:pPr>
        <w:pStyle w:val="Heading1"/>
      </w:pPr>
      <w:r>
        <w:t xml:space="preserve">Lesson 12: Notice and Wonder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equal groups to create a Notice and Wonder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Notice and Wonder activity.</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equal groups to create a Notice and Wonder activity.</w:t>
      </w:r>
    </w:p>
    <w:p>
      <w:pPr>
        <w:pStyle w:val="BodyText"/>
      </w:pPr>
      <w:r>
        <w:t xml:space="preserve">This lesson provides an opportunity to observe the ways in which students notice and describe equal groups. After the warm-up, students create their own Notice and Wonder activity and then facilitate it with other students in the class. Students can find images to use for their Notice and Wonder from books or other sources.</w:t>
      </w:r>
    </w:p>
    <w:p>
      <w:pPr>
        <w:pStyle w:val="BodyText"/>
      </w:pPr>
      <w:r>
        <w:t xml:space="preserve">If students need additional support with the concepts in this lesson, refer back to Unit 1, Section B in the curriculum materials.</w:t>
      </w:r>
      <w:r>
        <w:rPr>
          <w:bCs/>
          <w:b/>
        </w:rP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Markers: Activity 2</w:t>
      </w:r>
    </w:p>
    <w:p>
      <w:pPr>
        <w:numPr>
          <w:ilvl w:val="0"/>
          <w:numId w:val="1005"/>
        </w:numPr>
        <w:pStyle w:val="Compact"/>
      </w:pPr>
      <w:r>
        <w:t xml:space="preserve">Picture books: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Notice and Wonder 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44"/>
    <w:bookmarkStart w:id="45" w:name="student-facing-task-statement"/>
    <w:p>
      <w:pPr>
        <w:pStyle w:val="Heading3"/>
      </w:pPr>
      <w:r>
        <w:t xml:space="preserve">Student-facing Task Statement</w:t>
      </w:r>
    </w:p>
    <w:p>
      <w:pPr>
        <w:pStyle w:val="FirstParagraph"/>
      </w:pPr>
      <w:r>
        <w:t xml:space="preserve">Respond to one or both of these prompts.</w:t>
      </w:r>
    </w:p>
    <w:p>
      <w:pPr>
        <w:numPr>
          <w:ilvl w:val="0"/>
          <w:numId w:val="1006"/>
        </w:numPr>
        <w:pStyle w:val="Compact"/>
      </w:pPr>
      <w:r>
        <w:t xml:space="preserve">Describe something you really understand well about equal groups after today’s lesson.</w:t>
      </w:r>
    </w:p>
    <w:p>
      <w:pPr>
        <w:numPr>
          <w:ilvl w:val="0"/>
          <w:numId w:val="1006"/>
        </w:numPr>
        <w:pStyle w:val="Compact"/>
      </w:pPr>
      <w:r>
        <w:t xml:space="preserve">Describe something that was confusing or challenging.</w:t>
      </w:r>
    </w:p>
    <w:bookmarkEnd w:id="45"/>
    <w:bookmarkStart w:id="46" w:name="student-responses"/>
    <w:p>
      <w:pPr>
        <w:pStyle w:val="Heading3"/>
      </w:pPr>
      <w:r>
        <w:t xml:space="preserve">Student Responses</w:t>
      </w:r>
    </w:p>
    <w:p>
      <w:pPr>
        <w:pStyle w:val="FirstParagraph"/>
      </w:pPr>
      <w:r>
        <w:t xml:space="preserve">Sample response: I understand that when equal groups are organized into rows or columns, they are easier to count because we only need to count one row and then multiply by the number of rows.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2022-12-14T12:22:10Z</dcterms:created>
  <dcterms:modified xsi:type="dcterms:W3CDTF">2022-12-14T12:22:10Z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+jB8YWIkKvAcZelgNvyR/giWy98a5mlEUGyJI8eu4vbeNDk4DqzSrdmBSn5nmL2WMX6yWQ5sNF/V5mxTs6Hhqw==</vt:lpwstr>
  </property>
</Properties>
</file>