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5a06edc6d4929e2bcc8ad637c9da47b95daf1"/>
    <w:p>
      <w:pPr>
        <w:pStyle w:val="Heading2"/>
      </w:pPr>
      <w:r>
        <w:t xml:space="preserve">Lección 10: Dibujos, situaciones y diagramas, ¡oh, vaya!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grupos iguales.</w:t>
      </w:r>
    </w:p>
    <w:bookmarkStart w:id="24" w:name="X807e2df763c0716a81f2a9a9fda690b463af443"/>
    <w:p>
      <w:pPr>
        <w:pStyle w:val="Heading3"/>
      </w:pPr>
      <w:r>
        <w:t xml:space="preserve">Calentamiento: Observa y pregúntate: Calcetines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57700" cy="3406140"/>
            <wp:effectExtent b="0" l="0" r="0" t="0"/>
            <wp:docPr descr="6 pairs of socks." title="" id="22" name="Picture"/>
            <a:graphic>
              <a:graphicData uri="http://schemas.openxmlformats.org/drawingml/2006/picture">
                <pic:pic>
                  <pic:nvPicPr>
                    <pic:cNvPr descr="/app/tmp/embedder-1671061869.99119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X0ec7c42daff7c6471f26928a1e60203bc2f894e"/>
    <w:p>
      <w:pPr>
        <w:pStyle w:val="Heading3"/>
      </w:pPr>
      <w:r>
        <w:t xml:space="preserve">10.1: De una gráfica de dibujos con escala a un diagrama</w:t>
      </w:r>
    </w:p>
    <w:p>
      <w:pPr>
        <w:pStyle w:val="FirstParagraph"/>
      </w:pPr>
      <w:r>
        <w:drawing>
          <wp:inline>
            <wp:extent cx="3997109" cy="3484892"/>
            <wp:effectExtent b="0" l="0" r="0" t="0"/>
            <wp:docPr descr="Picture Graph. Signs I Saw on the Way Home. Key: each square represents 2 signs. stop signs, 2 squares. yield signs, 1 square. speed limit signs, 3 squares. street signs, 5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61870.13372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 partitioned into 3 equal parts, each labeled 2." title="" id="29" name="Picture"/>
            <a:graphic>
              <a:graphicData uri="http://schemas.openxmlformats.org/drawingml/2006/picture">
                <pic:pic>
                  <pic:nvPicPr>
                    <pic:cNvPr descr="/app/tmp/embedder-1671061870.295930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muestra el diagrama las señales de límite de velocidad que Elena vio camino a casa?</w:t>
      </w:r>
    </w:p>
    <w:p>
      <w:pPr>
        <w:numPr>
          <w:ilvl w:val="0"/>
          <w:numId w:val="1002"/>
        </w:numPr>
        <w:pStyle w:val="Compact"/>
      </w:pPr>
      <w:r>
        <w:t xml:space="preserve">Representa los datos de otra categoría de la gráfica con tu propio dibujo o diagrama.</w:t>
      </w:r>
    </w:p>
    <w:bookmarkEnd w:id="31"/>
    <w:bookmarkStart w:id="38" w:name="clasificación-de-tarjetas-grupos-iguales"/>
    <w:p>
      <w:pPr>
        <w:pStyle w:val="Heading3"/>
      </w:pPr>
      <w:r>
        <w:t xml:space="preserve">10.2: Clasificación de tarjetas: Grupos iguales</w:t>
      </w:r>
    </w:p>
    <w:p>
      <w:pPr>
        <w:numPr>
          <w:ilvl w:val="0"/>
          <w:numId w:val="1003"/>
        </w:numPr>
        <w:pStyle w:val="Compact"/>
      </w:pPr>
      <w:r>
        <w:t xml:space="preserve">Tu profesor te dará tarjetas que muestran dibujos, situaciones o diagramas. Forma grupos de tarjetas que correspondan entre sí.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802386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1870.35169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3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Haz un dibujo o diagrama para cada situación.</w:t>
      </w:r>
    </w:p>
    <w:p>
      <w:pPr>
        <w:numPr>
          <w:ilvl w:val="1"/>
          <w:numId w:val="1004"/>
        </w:numPr>
        <w:pStyle w:val="Compact"/>
      </w:pPr>
      <w:r>
        <w:t xml:space="preserve">Hay 4 bolsas. En cada bolsa hay 2 fresas.</w:t>
      </w:r>
    </w:p>
    <w:p>
      <w:pPr>
        <w:numPr>
          <w:ilvl w:val="1"/>
          <w:numId w:val="1004"/>
        </w:numPr>
        <w:pStyle w:val="Compact"/>
      </w:pPr>
      <w:r>
        <w:t xml:space="preserve">Hay 4 manos. En cada mano hay 5 dedos.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2022-12-14T23:51:11Z</dcterms:created>
  <dcterms:modified xsi:type="dcterms:W3CDTF">2022-12-14T23:51:11Z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twE4/Mj3Ql6DRYC8USv8FwoquLhAPgn/KGG5K0LgUL+TBX2lpH+6A0ahI6IAT9B/M8LBPlS0VOSt61xbNu9T4g==</vt:lpwstr>
  </property>
</Properties>
</file>