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18-divide-with-partial-quotients"/>
    <w:p>
      <w:pPr>
        <w:pStyle w:val="Heading1"/>
      </w:pPr>
      <w:r>
        <w:t xml:space="preserve">Lesson 18: Divide with Partial Quotients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4.NBT.B.6,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ways of using and recording partial quotients to divide multi-digit numbers.</w:t>
      </w:r>
    </w:p>
    <w:bookmarkEnd w:id="24"/>
    <w:bookmarkStart w:id="25" w:name="student-facing-learning-goals"/>
    <w:p>
      <w:pPr>
        <w:pStyle w:val="Heading3"/>
      </w:pPr>
      <w:r>
        <w:t xml:space="preserve">Student-facing Learning Goals</w:t>
      </w:r>
    </w:p>
    <w:p>
      <w:pPr>
        <w:numPr>
          <w:ilvl w:val="0"/>
          <w:numId w:val="1002"/>
        </w:numPr>
        <w:pStyle w:val="Compact"/>
      </w:pPr>
      <w:r>
        <w:t xml:space="preserve">Let’s analyze and use an algorithm that uses partial quotients.</w:t>
      </w:r>
    </w:p>
    <w:bookmarkEnd w:id="25"/>
    <w:bookmarkStart w:id="26" w:name="lesson-purpose"/>
    <w:p>
      <w:pPr>
        <w:pStyle w:val="Heading3"/>
      </w:pPr>
      <w:r>
        <w:t xml:space="preserve">Lesson Purpose</w:t>
      </w:r>
    </w:p>
    <w:p>
      <w:pPr>
        <w:pStyle w:val="FirstParagraph"/>
      </w:pPr>
      <w:r>
        <w:t xml:space="preserve">The purpose of this lesson is to introduce students to ways to record partial quotients when dividing multi-digit numbers.</w:t>
      </w:r>
    </w:p>
    <w:p>
      <w:pPr>
        <w:pStyle w:val="BodyText"/>
      </w:pPr>
      <w:r>
        <w:t xml:space="preserve">Previously, students have found quotients by decomposing a dividend and finding the quotient for each decomposed part until all of the dividend is divided. They have also reasoned in terms of multiplication—adding partial products until they reach the value of the dividend—and in terms of place value. They have also used area diagrams and base-ten diagrams—among other representations—to support their reasoning.</w:t>
      </w:r>
    </w:p>
    <w:p>
      <w:pPr>
        <w:pStyle w:val="BodyText"/>
      </w:pPr>
      <w:r>
        <w:t xml:space="preserve">In this lesson, students use partial quotients and a couple of ways to record them systematically—by writing a series of equations, and by using an algorithm that uses partial quotients.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Today’s lesson encouraged small-group collaboration. How did students interact with each other’s ideas today in the work? Who was heard in their group? Who was not heard? How can you ensure in future small-group collaborations that all student’s voices are heard?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Subtract Groups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4.NBT.B.6</w:t>
            </w:r>
          </w:p>
        </w:tc>
      </w:tr>
    </w:tbl>
    <w:bookmarkEnd w:id="44"/>
    <w:bookmarkStart w:id="48" w:name="student-facing-task-statement"/>
    <w:p>
      <w:pPr>
        <w:pStyle w:val="Heading3"/>
      </w:pPr>
      <w:r>
        <w:t xml:space="preserve">Student-facing Task Statement</w:t>
      </w:r>
    </w:p>
    <w:p>
      <w:pPr>
        <w:pStyle w:val="FirstParagraph"/>
      </w:pPr>
      <w:r>
        <w:t xml:space="preserve">Priya and Tyler use different methods to find</w:t>
      </w:r>
      <w:r>
        <w:t xml:space="preserve"> </w:t>
      </w:r>
      <m:oMath>
        <m:r>
          <m:t>430</m:t>
        </m:r>
        <m:r>
          <m:rPr>
            <m:sty m:val="p"/>
          </m:rPr>
          <m:t>÷</m:t>
        </m:r>
        <m:r>
          <m:t>5</m:t>
        </m:r>
      </m:oMath>
      <w:r>
        <w:t xml:space="preserve">. Their work is incomplete. Complete Priya’s and Tyler’s work.</w:t>
      </w:r>
    </w:p>
    <w:p>
      <w:pPr>
        <w:pStyle w:val="BodyText"/>
      </w:pPr>
      <w:r>
        <w:t xml:space="preserve">Priya's work</w:t>
      </w:r>
    </w:p>
    <w:p>
      <w:pPr>
        <w:pStyle w:val="BodyText"/>
      </w:pPr>
      <m:oMath>
        <m:m>
          <m:mPr>
            <m:baseJc m:val="center"/>
            <m:plcHide m:val="1"/>
            <m:mcs>
              <m:mc>
                <m:mcPr>
                  <m:mcJc m:val="center"/>
                  <m:count m:val="1"/>
                </m:mcPr>
              </m:mc>
              <m:mc>
                <m:mcPr>
                  <m:mcJc m:val="center"/>
                  <m:count m:val="1"/>
                </m:mcPr>
              </m:mc>
            </m:mcs>
          </m:mPr>
          <m:mr>
            <m:e>
              <m:r>
                <m:t>300</m:t>
              </m:r>
              <m:r>
                <m:rPr>
                  <m:sty m:val="p"/>
                </m:rPr>
                <m:t>÷</m:t>
              </m:r>
              <m:r>
                <m:t>5</m:t>
              </m:r>
            </m:e>
            <m:e>
              <m:r>
                <m:rPr>
                  <m:sty m:val="p"/>
                </m:rPr>
                <m:t>=</m:t>
              </m:r>
            </m:e>
          </m:mr>
          <m:mr>
            <m:e>
              <m:r>
                <m:t>100</m:t>
              </m:r>
              <m:r>
                <m:rPr>
                  <m:sty m:val="p"/>
                </m:rPr>
                <m:t>÷</m:t>
              </m:r>
              <m:r>
                <m:t>5</m:t>
              </m:r>
            </m:e>
            <m:e>
              <m:r>
                <m:rPr>
                  <m:sty m:val="p"/>
                </m:rPr>
                <m:t>=</m:t>
              </m:r>
            </m:e>
          </m:mr>
          <m:mr>
            <m:e>
              <m:r>
                <m:t>30</m:t>
              </m:r>
              <m:r>
                <m:rPr>
                  <m:sty m:val="p"/>
                </m:rPr>
                <m:t>÷</m:t>
              </m:r>
              <m:r>
                <m:t>5</m:t>
              </m:r>
            </m:e>
            <m:e>
              <m:r>
                <m:rPr>
                  <m:sty m:val="p"/>
                </m:rPr>
                <m:t>=</m:t>
              </m:r>
            </m:e>
          </m:mr>
          <m:mr>
            <m:e>
              <m:limUpp>
                <m:e>
                  <m:r>
                    <m:t>  </m:t>
                  </m:r>
                  <m:r>
                    <m:t>430</m:t>
                  </m:r>
                  <m:r>
                    <m:rPr>
                      <m:sty m:val="p"/>
                    </m:rPr>
                    <m:t>÷</m:t>
                  </m:r>
                  <m:r>
                    <m:t>5</m:t>
                  </m:r>
                </m:e>
                <m:lim>
                  <m:r>
                    <m:rPr>
                      <m:sty m:val="p"/>
                    </m:rPr>
                    <m:t>¯</m:t>
                  </m:r>
                </m:lim>
              </m:limUpp>
            </m:e>
            <m:e>
              <m:limUpp>
                <m:e>
                  <m:r>
                    <m:t>  </m:t>
                  </m:r>
                  <m:r>
                    <m:rPr>
                      <m:sty m:val="p"/>
                    </m:rPr>
                    <m:t>=</m:t>
                  </m:r>
                  <m:phant>
                    <m:phantPr>
                      <m:show m:val="0"/>
                    </m:phantPr>
                    <m:e>
                      <m:r>
                        <m:t>000000</m:t>
                      </m:r>
                    </m:e>
                  </m:phant>
                </m:e>
                <m:lim>
                  <m:r>
                    <m:rPr>
                      <m:sty m:val="p"/>
                    </m:rPr>
                    <m:t>¯</m:t>
                  </m:r>
                </m:lim>
              </m:limUpp>
            </m:e>
          </m:mr>
        </m:m>
      </m:oMath>
    </w:p>
    <w:p>
      <w:pPr>
        <w:pStyle w:val="BodyText"/>
      </w:pPr>
      <w:r>
        <w:t xml:space="preserve">Tyler's work</w:t>
      </w:r>
    </w:p>
    <w:p>
      <w:pPr>
        <w:pStyle w:val="BodyText"/>
      </w:pPr>
      <w:r>
        <w:drawing>
          <wp:inline>
            <wp:extent cx="2012480" cy="1164617"/>
            <wp:effectExtent b="0" l="0" r="0" t="0"/>
            <wp:docPr descr="Divide. 4 hundred 30 divided by 5, 5 rows." title="" id="46" name="Picture"/>
            <a:graphic>
              <a:graphicData uri="http://schemas.openxmlformats.org/drawingml/2006/picture">
                <pic:pic>
                  <pic:nvPicPr>
                    <pic:cNvPr descr="/app/tmp/embedder-1671024379.1017637.png" id="47" name="Picture"/>
                    <pic:cNvPicPr>
                      <a:picLocks noChangeArrowheads="1" noChangeAspect="1"/>
                    </pic:cNvPicPr>
                  </pic:nvPicPr>
                  <pic:blipFill>
                    <a:blip r:embed="rId45"/>
                    <a:stretch>
                      <a:fillRect/>
                    </a:stretch>
                  </pic:blipFill>
                  <pic:spPr bwMode="auto">
                    <a:xfrm>
                      <a:off x="0" y="0"/>
                      <a:ext cx="2012480" cy="1164617"/>
                    </a:xfrm>
                    <a:prstGeom prst="rect">
                      <a:avLst/>
                    </a:prstGeom>
                    <a:noFill/>
                    <a:ln w="9525">
                      <a:noFill/>
                      <a:headEnd/>
                      <a:tailEnd/>
                    </a:ln>
                  </pic:spPr>
                </pic:pic>
              </a:graphicData>
            </a:graphic>
          </wp:inline>
        </w:drawing>
      </w:r>
    </w:p>
    <w:p>
      <w:pPr>
        <w:pStyle w:val="BodyText"/>
      </w:pPr>
      <w:r>
        <w:t xml:space="preserve">What is the value of</w:t>
      </w:r>
      <w:r>
        <w:t xml:space="preserve"> </w:t>
      </w:r>
      <m:oMath>
        <m:r>
          <m:t>430</m:t>
        </m:r>
        <m:r>
          <m:rPr>
            <m:sty m:val="p"/>
          </m:rPr>
          <m:t>÷</m:t>
        </m:r>
        <m:r>
          <m:t>5</m:t>
        </m:r>
      </m:oMath>
      <w:r>
        <w:t xml:space="preserve">?</w:t>
      </w:r>
    </w:p>
    <w:bookmarkEnd w:id="48"/>
    <w:bookmarkStart w:id="52" w:name="student-responses"/>
    <w:p>
      <w:pPr>
        <w:pStyle w:val="Heading3"/>
      </w:pPr>
      <w:r>
        <w:t xml:space="preserve">Student Responses</w:t>
      </w:r>
    </w:p>
    <w:p>
      <w:pPr>
        <w:pStyle w:val="FirstParagraph"/>
      </w:pPr>
      <w:r>
        <w:t xml:space="preserve">86. Sample reasoning: 300 is 60 groups of 5, 100 is 20 groups of 5, and 30 is 6 groups of 5. Adding the groups of 5—the 60, 20, and 6—gives the quotient.</w:t>
      </w:r>
    </w:p>
    <w:p>
      <w:pPr>
        <w:pStyle w:val="BodyText"/>
      </w:pPr>
      <w:r>
        <w:t xml:space="preserve">Priya's work</w:t>
      </w:r>
    </w:p>
    <w:p>
      <w:pPr>
        <w:pStyle w:val="BodyText"/>
      </w:pPr>
      <m:oMath>
        <m:m>
          <m:mPr>
            <m:baseJc m:val="center"/>
            <m:plcHide m:val="1"/>
            <m:mcs>
              <m:mc>
                <m:mcPr>
                  <m:mcJc m:val="center"/>
                  <m:count m:val="1"/>
                </m:mcPr>
              </m:mc>
              <m:mc>
                <m:mcPr>
                  <m:mcJc m:val="center"/>
                  <m:count m:val="1"/>
                </m:mcPr>
              </m:mc>
            </m:mcs>
          </m:mPr>
          <m:mr>
            <m:e>
              <m:r>
                <m:t>300</m:t>
              </m:r>
              <m:r>
                <m:rPr>
                  <m:sty m:val="p"/>
                </m:rPr>
                <m:t>÷</m:t>
              </m:r>
              <m:r>
                <m:t>5</m:t>
              </m:r>
            </m:e>
            <m:e>
              <m:r>
                <m:rPr>
                  <m:sty m:val="p"/>
                </m:rPr>
                <m:t>=</m:t>
              </m:r>
              <m:r>
                <m:t>60</m:t>
              </m:r>
            </m:e>
          </m:mr>
          <m:mr>
            <m:e>
              <m:r>
                <m:t>100</m:t>
              </m:r>
              <m:r>
                <m:rPr>
                  <m:sty m:val="p"/>
                </m:rPr>
                <m:t>÷</m:t>
              </m:r>
              <m:r>
                <m:t>5</m:t>
              </m:r>
            </m:e>
            <m:e>
              <m:r>
                <m:rPr>
                  <m:sty m:val="p"/>
                </m:rPr>
                <m:t>=</m:t>
              </m:r>
              <m:r>
                <m:t>20</m:t>
              </m:r>
            </m:e>
          </m:mr>
          <m:mr>
            <m:e>
              <m:r>
                <m:t>30</m:t>
              </m:r>
              <m:r>
                <m:rPr>
                  <m:sty m:val="p"/>
                </m:rPr>
                <m:t>÷</m:t>
              </m:r>
              <m:r>
                <m:t>5</m:t>
              </m:r>
            </m:e>
            <m:e>
              <m:r>
                <m:rPr>
                  <m:sty m:val="p"/>
                </m:rPr>
                <m:t>=</m:t>
              </m:r>
              <m:r>
                <m:t>6</m:t>
              </m:r>
            </m:e>
          </m:mr>
          <m:mr>
            <m:e>
              <m:limUpp>
                <m:e>
                  <m:r>
                    <m:t>  </m:t>
                  </m:r>
                  <m:r>
                    <m:t>430</m:t>
                  </m:r>
                  <m:r>
                    <m:rPr>
                      <m:sty m:val="p"/>
                    </m:rPr>
                    <m:t>÷</m:t>
                  </m:r>
                  <m:r>
                    <m:t>5</m:t>
                  </m:r>
                </m:e>
                <m:lim>
                  <m:r>
                    <m:rPr>
                      <m:sty m:val="p"/>
                    </m:rPr>
                    <m:t>¯</m:t>
                  </m:r>
                </m:lim>
              </m:limUpp>
            </m:e>
            <m:e>
              <m:limUpp>
                <m:e>
                  <m:r>
                    <m:t>  </m:t>
                  </m:r>
                  <m:r>
                    <m:rPr>
                      <m:sty m:val="p"/>
                    </m:rPr>
                    <m:t>=</m:t>
                  </m:r>
                  <m:r>
                    <m:t>86</m:t>
                  </m:r>
                  <m:phant>
                    <m:phantPr>
                      <m:show m:val="0"/>
                    </m:phantPr>
                    <m:e>
                      <m:r>
                        <m:t>000000</m:t>
                      </m:r>
                    </m:e>
                  </m:phant>
                </m:e>
                <m:lim>
                  <m:r>
                    <m:rPr>
                      <m:sty m:val="p"/>
                    </m:rPr>
                    <m:t>¯</m:t>
                  </m:r>
                </m:lim>
              </m:limUpp>
            </m:e>
          </m:mr>
        </m:m>
      </m:oMath>
    </w:p>
    <w:p>
      <w:pPr>
        <w:pStyle w:val="BodyText"/>
      </w:pPr>
      <w:r>
        <w:t xml:space="preserve">Tyler's work</w:t>
      </w:r>
    </w:p>
    <w:p>
      <w:pPr>
        <w:pStyle w:val="BodyText"/>
      </w:pPr>
      <w:r>
        <w:drawing>
          <wp:inline>
            <wp:extent cx="1632407" cy="2074887"/>
            <wp:effectExtent b="0" l="0" r="0" t="0"/>
            <wp:docPr descr="division algorithm" title="" id="50" name="Picture"/>
            <a:graphic>
              <a:graphicData uri="http://schemas.openxmlformats.org/drawingml/2006/picture">
                <pic:pic>
                  <pic:nvPicPr>
                    <pic:cNvPr descr="/app/tmp/embedder-1671024379.3165793.png" id="51" name="Picture"/>
                    <pic:cNvPicPr>
                      <a:picLocks noChangeArrowheads="1" noChangeAspect="1"/>
                    </pic:cNvPicPr>
                  </pic:nvPicPr>
                  <pic:blipFill>
                    <a:blip r:embed="rId49"/>
                    <a:stretch>
                      <a:fillRect/>
                    </a:stretch>
                  </pic:blipFill>
                  <pic:spPr bwMode="auto">
                    <a:xfrm>
                      <a:off x="0" y="0"/>
                      <a:ext cx="1632407" cy="2074887"/>
                    </a:xfrm>
                    <a:prstGeom prst="rect">
                      <a:avLst/>
                    </a:prstGeom>
                    <a:noFill/>
                    <a:ln w="9525">
                      <a:noFill/>
                      <a:headEnd/>
                      <a:tailEnd/>
                    </a:ln>
                  </pic:spPr>
                </pic:pic>
              </a:graphicData>
            </a:graphic>
          </wp:inline>
        </w:drawing>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2022-12-14T13:26:20Z</dcterms:created>
  <dcterms:modified xsi:type="dcterms:W3CDTF">2022-12-14T13:26:20Z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6NZLAY082kW70GUYaKqh9Ca6icSJISf7dx4duTo6MafM0g5Y4bQiGH40xgY5zo2cH1LwQp2reuDylPjJTjUy+g==</vt:lpwstr>
  </property>
</Properties>
</file>